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44"/>
        </w:rPr>
      </w:pPr>
      <w:r>
        <w:rPr>
          <w:rFonts w:hint="eastAsia"/>
          <w:sz w:val="36"/>
          <w:szCs w:val="44"/>
        </w:rPr>
        <w:t>关于</w:t>
      </w:r>
      <w:r>
        <w:rPr>
          <w:rFonts w:hint="eastAsia"/>
          <w:sz w:val="36"/>
          <w:szCs w:val="44"/>
          <w:lang w:eastAsia="zh-CN"/>
        </w:rPr>
        <w:t>显微镜采</w:t>
      </w:r>
      <w:r>
        <w:rPr>
          <w:rFonts w:hint="eastAsia"/>
          <w:sz w:val="36"/>
          <w:szCs w:val="44"/>
        </w:rPr>
        <w:t>购的询价公告</w:t>
      </w:r>
    </w:p>
    <w:p>
      <w:pPr>
        <w:ind w:firstLine="480" w:firstLineChars="200"/>
        <w:rPr>
          <w:rFonts w:hint="eastAsia"/>
          <w:sz w:val="24"/>
          <w:szCs w:val="24"/>
        </w:rPr>
      </w:pP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按照绍兴市妇幼保健院采购需求，</w:t>
      </w:r>
      <w:r>
        <w:rPr>
          <w:rFonts w:hint="eastAsia"/>
          <w:sz w:val="24"/>
          <w:szCs w:val="24"/>
          <w:lang w:eastAsia="zh-CN"/>
        </w:rPr>
        <w:t>设备</w:t>
      </w:r>
      <w:r>
        <w:rPr>
          <w:rFonts w:hint="eastAsia"/>
          <w:sz w:val="24"/>
          <w:szCs w:val="24"/>
        </w:rPr>
        <w:t>科对</w:t>
      </w:r>
      <w:r>
        <w:rPr>
          <w:rFonts w:hint="eastAsia"/>
          <w:sz w:val="24"/>
          <w:szCs w:val="24"/>
          <w:lang w:eastAsia="zh-CN"/>
        </w:rPr>
        <w:t>显微镜</w:t>
      </w:r>
      <w:r>
        <w:rPr>
          <w:rFonts w:hint="eastAsia"/>
          <w:sz w:val="24"/>
          <w:szCs w:val="24"/>
        </w:rPr>
        <w:t>采购项目进行询价，欢迎符合要求的供应商进行报价。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/>
          <w:bCs/>
          <w:color w:val="000000"/>
          <w:spacing w:val="0"/>
          <w:w w:val="100"/>
          <w:kern w:val="2"/>
          <w:position w:val="0"/>
          <w:sz w:val="28"/>
          <w:szCs w:val="28"/>
          <w:u w:val="none" w:color="000000"/>
          <w:vertAlign w:val="baseline"/>
          <w:lang w:val="zh-TW" w:eastAsia="zh-CN"/>
        </w:rPr>
      </w:pPr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kern w:val="2"/>
          <w:position w:val="0"/>
          <w:sz w:val="28"/>
          <w:szCs w:val="28"/>
          <w:u w:val="none" w:color="000000"/>
          <w:vertAlign w:val="baseline"/>
          <w:lang w:val="zh-TW" w:eastAsia="zh-CN"/>
        </w:rPr>
        <w:t>一、项目名称：显微镜</w:t>
      </w: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/>
        </w:rPr>
      </w:pPr>
      <w:r>
        <w:rPr>
          <w:rFonts w:hint="eastAsia"/>
          <w:sz w:val="24"/>
          <w:szCs w:val="24"/>
        </w:rPr>
        <w:t>1.项目预算：</w:t>
      </w:r>
      <w:r>
        <w:rPr>
          <w:rFonts w:hint="eastAsia"/>
          <w:sz w:val="24"/>
          <w:szCs w:val="24"/>
          <w:lang w:val="en-US" w:eastAsia="zh-CN"/>
        </w:rPr>
        <w:t>40000元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2.询价项目概况（内容、用途、数量、简要技术要求等）:</w:t>
      </w:r>
    </w:p>
    <w:p>
      <w:pPr>
        <w:jc w:val="center"/>
        <w:rPr>
          <w:rFonts w:hint="default" w:eastAsia="宋体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报价清单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29"/>
        <w:gridCol w:w="1766"/>
        <w:gridCol w:w="1569"/>
        <w:gridCol w:w="1444"/>
        <w:gridCol w:w="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2829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产品名称</w:t>
            </w:r>
          </w:p>
        </w:tc>
        <w:tc>
          <w:tcPr>
            <w:tcW w:w="1766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品牌</w:t>
            </w:r>
          </w:p>
        </w:tc>
        <w:tc>
          <w:tcPr>
            <w:tcW w:w="1569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型号</w:t>
            </w:r>
          </w:p>
        </w:tc>
        <w:tc>
          <w:tcPr>
            <w:tcW w:w="1444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单价（元）</w:t>
            </w:r>
          </w:p>
        </w:tc>
        <w:tc>
          <w:tcPr>
            <w:tcW w:w="830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2829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婴儿电子秤</w:t>
            </w:r>
          </w:p>
        </w:tc>
        <w:tc>
          <w:tcPr>
            <w:tcW w:w="1766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9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4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  <w:t>10000</w:t>
            </w:r>
          </w:p>
        </w:tc>
        <w:tc>
          <w:tcPr>
            <w:tcW w:w="830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4台</w:t>
            </w:r>
          </w:p>
        </w:tc>
      </w:tr>
    </w:tbl>
    <w:p>
      <w:pPr>
        <w:numPr>
          <w:ilvl w:val="0"/>
          <w:numId w:val="0"/>
        </w:numPr>
        <w:ind w:leftChars="0"/>
        <w:rPr>
          <w:rFonts w:hint="eastAsia" w:ascii="宋体" w:hAnsi="宋体" w:cs="宋体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kern w:val="2"/>
          <w:position w:val="0"/>
          <w:sz w:val="28"/>
          <w:szCs w:val="28"/>
          <w:u w:val="none" w:color="000000"/>
          <w:vertAlign w:val="baseline"/>
          <w:lang w:val="zh-TW" w:eastAsia="zh-CN"/>
        </w:rPr>
        <w:t>二、技术参数</w:t>
      </w:r>
    </w:p>
    <w:tbl>
      <w:tblPr>
        <w:tblStyle w:val="3"/>
        <w:tblW w:w="4985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7001"/>
        <w:gridCol w:w="85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380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4119" w:type="pct"/>
            <w:vAlign w:val="center"/>
          </w:tcPr>
          <w:p>
            <w:pPr>
              <w:rPr>
                <w:bCs/>
                <w:color w:val="000000"/>
                <w:szCs w:val="21"/>
              </w:rPr>
            </w:pPr>
            <w:r>
              <w:rPr>
                <w:rFonts w:hint="eastAsia"/>
                <w:b/>
              </w:rPr>
              <w:t>整机要求：</w:t>
            </w:r>
            <w:r>
              <w:rPr>
                <w:bCs/>
                <w:sz w:val="24"/>
              </w:rPr>
              <w:t>可观察普通染色的切片观察</w:t>
            </w:r>
            <w:r>
              <w:rPr>
                <w:rFonts w:hint="eastAsia"/>
                <w:bCs/>
                <w:sz w:val="24"/>
              </w:rPr>
              <w:t>，用于临床及教学工作</w:t>
            </w:r>
            <w:r>
              <w:rPr>
                <w:bCs/>
                <w:sz w:val="24"/>
              </w:rPr>
              <w:t>。</w:t>
            </w:r>
          </w:p>
        </w:tc>
        <w:tc>
          <w:tcPr>
            <w:tcW w:w="500" w:type="pct"/>
            <w:vAlign w:val="center"/>
          </w:tcPr>
          <w:p>
            <w:pPr>
              <w:pStyle w:val="6"/>
              <w:ind w:firstLine="0" w:firstLineChars="0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380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4119" w:type="pct"/>
            <w:vAlign w:val="center"/>
          </w:tcPr>
          <w:p>
            <w:pPr>
              <w:tabs>
                <w:tab w:val="left" w:pos="360"/>
              </w:tabs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</w:rPr>
              <w:t>设备参数</w:t>
            </w:r>
          </w:p>
        </w:tc>
        <w:tc>
          <w:tcPr>
            <w:tcW w:w="500" w:type="pct"/>
            <w:vAlign w:val="center"/>
          </w:tcPr>
          <w:p>
            <w:pPr>
              <w:pStyle w:val="6"/>
              <w:ind w:firstLine="0" w:firstLineChars="0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380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2.1</w:t>
            </w:r>
          </w:p>
        </w:tc>
        <w:tc>
          <w:tcPr>
            <w:tcW w:w="4119" w:type="pct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光学系统：无限远光学矫正系统，齐焦距离必须为国际标准45mm。</w:t>
            </w:r>
          </w:p>
        </w:tc>
        <w:tc>
          <w:tcPr>
            <w:tcW w:w="500" w:type="pct"/>
            <w:vAlign w:val="center"/>
          </w:tcPr>
          <w:p>
            <w:pPr>
              <w:pStyle w:val="6"/>
              <w:ind w:firstLine="0" w:firstLineChars="0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380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2.2</w:t>
            </w:r>
          </w:p>
        </w:tc>
        <w:tc>
          <w:tcPr>
            <w:tcW w:w="4119" w:type="pct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载物台：钢丝传动，无齿条结构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尺寸为：120 x 13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0±2</w:t>
            </w:r>
            <w:r>
              <w:rPr>
                <w:rFonts w:hint="eastAsia" w:ascii="宋体" w:hAnsi="宋体"/>
                <w:szCs w:val="21"/>
              </w:rPr>
              <w:t>mm；行程为：76mm（X）x 30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±2</w:t>
            </w:r>
            <w:r>
              <w:rPr>
                <w:rFonts w:hint="eastAsia" w:ascii="宋体" w:hAnsi="宋体"/>
                <w:szCs w:val="21"/>
              </w:rPr>
              <w:t>mm（Y）</w:t>
            </w:r>
          </w:p>
        </w:tc>
        <w:tc>
          <w:tcPr>
            <w:tcW w:w="500" w:type="pct"/>
            <w:vAlign w:val="center"/>
          </w:tcPr>
          <w:p>
            <w:pPr>
              <w:pStyle w:val="6"/>
              <w:ind w:firstLine="0" w:firstLineChars="0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380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2.3</w:t>
            </w:r>
          </w:p>
        </w:tc>
        <w:tc>
          <w:tcPr>
            <w:tcW w:w="4119" w:type="pct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调焦机构：有粗调限位，可以进行张力调节，避免标本或物镜的损伤。</w:t>
            </w:r>
          </w:p>
        </w:tc>
        <w:tc>
          <w:tcPr>
            <w:tcW w:w="500" w:type="pct"/>
            <w:vAlign w:val="center"/>
          </w:tcPr>
          <w:p>
            <w:pPr>
              <w:pStyle w:val="6"/>
              <w:ind w:firstLine="0" w:firstLineChars="0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380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2.4</w:t>
            </w:r>
          </w:p>
        </w:tc>
        <w:tc>
          <w:tcPr>
            <w:tcW w:w="4119" w:type="pct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聚光镜：带有孔径光阑的阿贝聚光镜，N.A. 1.25</w:t>
            </w:r>
          </w:p>
        </w:tc>
        <w:tc>
          <w:tcPr>
            <w:tcW w:w="500" w:type="pct"/>
            <w:vAlign w:val="center"/>
          </w:tcPr>
          <w:p>
            <w:pPr>
              <w:pStyle w:val="6"/>
              <w:ind w:firstLine="0" w:firstLineChars="0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380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2.5</w:t>
            </w:r>
          </w:p>
        </w:tc>
        <w:tc>
          <w:tcPr>
            <w:tcW w:w="4119" w:type="pct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照明系统：</w:t>
            </w:r>
            <w:r>
              <w:rPr>
                <w:rFonts w:hint="eastAsia" w:ascii="宋体" w:hAnsi="宋体"/>
                <w:szCs w:val="21"/>
                <w:lang w:eastAsia="zh-CN"/>
              </w:rPr>
              <w:t>≥</w:t>
            </w:r>
            <w:r>
              <w:rPr>
                <w:rFonts w:hint="eastAsia" w:ascii="宋体" w:hAnsi="宋体"/>
                <w:szCs w:val="21"/>
              </w:rPr>
              <w:t>20000小时寿命LED光源</w:t>
            </w:r>
          </w:p>
        </w:tc>
        <w:tc>
          <w:tcPr>
            <w:tcW w:w="500" w:type="pct"/>
            <w:vAlign w:val="center"/>
          </w:tcPr>
          <w:p>
            <w:pPr>
              <w:pStyle w:val="6"/>
              <w:ind w:firstLine="0" w:firstLineChars="0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380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2.6</w:t>
            </w:r>
          </w:p>
        </w:tc>
        <w:tc>
          <w:tcPr>
            <w:tcW w:w="4119" w:type="pct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双目观察筒：瞳距调整范围48-75mm， 倾斜角度30°，带屈光度调节，视场数≥20</w:t>
            </w:r>
          </w:p>
        </w:tc>
        <w:tc>
          <w:tcPr>
            <w:tcW w:w="500" w:type="pct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380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2.7</w:t>
            </w:r>
          </w:p>
        </w:tc>
        <w:tc>
          <w:tcPr>
            <w:tcW w:w="4119" w:type="pct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目镜：10X，视场数≥20</w:t>
            </w:r>
          </w:p>
        </w:tc>
        <w:tc>
          <w:tcPr>
            <w:tcW w:w="500" w:type="pct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380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2.8</w:t>
            </w:r>
          </w:p>
        </w:tc>
        <w:tc>
          <w:tcPr>
            <w:tcW w:w="4119" w:type="pct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物镜转盘：与显微镜机身固定的内旋式4孔物镜转盘，便于放置标本等操作</w:t>
            </w:r>
          </w:p>
        </w:tc>
        <w:tc>
          <w:tcPr>
            <w:tcW w:w="500" w:type="pct"/>
          </w:tcPr>
          <w:p>
            <w:pPr>
              <w:pStyle w:val="6"/>
              <w:ind w:firstLine="0" w:firstLineChars="0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  <w:jc w:val="center"/>
        </w:trPr>
        <w:tc>
          <w:tcPr>
            <w:tcW w:w="380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2.9</w:t>
            </w:r>
          </w:p>
        </w:tc>
        <w:tc>
          <w:tcPr>
            <w:tcW w:w="4119" w:type="pct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物镜：平场消色差物镜4X（N.A.≥0.1 W.D≥27）、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10X（N.A.≥0.25 W.D≥8）、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40X（N.A.≥0.65 W.D≥0.6）、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100X（N.A.≥1.25 W.D≥0.12）</w:t>
            </w:r>
          </w:p>
        </w:tc>
        <w:tc>
          <w:tcPr>
            <w:tcW w:w="500" w:type="pct"/>
          </w:tcPr>
          <w:p>
            <w:pPr>
              <w:pStyle w:val="6"/>
              <w:ind w:firstLine="0" w:firstLineChars="0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380" w:type="pct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三</w:t>
            </w:r>
          </w:p>
        </w:tc>
        <w:tc>
          <w:tcPr>
            <w:tcW w:w="4119" w:type="pct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配置要求</w:t>
            </w:r>
          </w:p>
        </w:tc>
        <w:tc>
          <w:tcPr>
            <w:tcW w:w="500" w:type="pct"/>
          </w:tcPr>
          <w:p>
            <w:pPr>
              <w:pStyle w:val="6"/>
              <w:ind w:firstLine="0" w:firstLineChars="0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380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4119" w:type="pct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主机一台，目镜一对，led光源，物镜4X,10X，40X,100X各一个，双目观察筒一个 </w:t>
            </w:r>
          </w:p>
        </w:tc>
        <w:tc>
          <w:tcPr>
            <w:tcW w:w="500" w:type="pct"/>
          </w:tcPr>
          <w:p>
            <w:pPr>
              <w:pStyle w:val="6"/>
              <w:ind w:firstLine="0" w:firstLineChars="0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380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4119" w:type="pct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500" w:type="pct"/>
          </w:tcPr>
          <w:p>
            <w:pPr>
              <w:pStyle w:val="6"/>
              <w:ind w:firstLine="0" w:firstLineChars="0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380" w:type="pct"/>
          </w:tcPr>
          <w:p>
            <w:pPr>
              <w:pStyle w:val="6"/>
              <w:ind w:firstLine="0" w:firstLineChars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四</w:t>
            </w:r>
          </w:p>
        </w:tc>
        <w:tc>
          <w:tcPr>
            <w:tcW w:w="4119" w:type="pct"/>
          </w:tcPr>
          <w:p>
            <w:pPr>
              <w:pStyle w:val="6"/>
              <w:ind w:firstLine="0" w:firstLineChars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商务条款</w:t>
            </w:r>
          </w:p>
        </w:tc>
        <w:tc>
          <w:tcPr>
            <w:tcW w:w="500" w:type="pct"/>
          </w:tcPr>
          <w:p>
            <w:pPr>
              <w:pStyle w:val="6"/>
              <w:ind w:firstLine="0" w:firstLineChars="0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380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4119" w:type="pct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保修</w:t>
            </w:r>
            <w:r>
              <w:rPr>
                <w:rFonts w:hint="eastAsia" w:ascii="宋体" w:hAnsi="宋体"/>
                <w:szCs w:val="21"/>
              </w:rPr>
              <w:t>≥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ascii="宋体" w:hAnsi="宋体"/>
                <w:szCs w:val="21"/>
              </w:rPr>
              <w:t>年</w:t>
            </w:r>
          </w:p>
        </w:tc>
        <w:tc>
          <w:tcPr>
            <w:tcW w:w="500" w:type="pct"/>
          </w:tcPr>
          <w:p>
            <w:pPr>
              <w:pStyle w:val="6"/>
              <w:ind w:firstLine="0" w:firstLineChars="0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380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4119" w:type="pct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务必填报完整的配套消耗品、耗材的优惠投标价格，并提供相关注册证及注册表等证明材料（证件必须在有效期内或附系列可证明有效的文件）；如不随附消耗品、耗材报价，视为承诺免费供应</w:t>
            </w:r>
          </w:p>
        </w:tc>
        <w:tc>
          <w:tcPr>
            <w:tcW w:w="500" w:type="pct"/>
          </w:tcPr>
          <w:p>
            <w:pPr>
              <w:pStyle w:val="6"/>
              <w:ind w:firstLine="0" w:firstLineChars="0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380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4119" w:type="pct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提供投标产品的彩页资料、详细技术指标及生产厂家的售后服务承诺证明</w:t>
            </w:r>
            <w:r>
              <w:rPr>
                <w:rFonts w:ascii="宋体" w:hAnsi="宋体"/>
                <w:szCs w:val="21"/>
              </w:rPr>
              <w:t xml:space="preserve">  </w:t>
            </w:r>
          </w:p>
        </w:tc>
        <w:tc>
          <w:tcPr>
            <w:tcW w:w="500" w:type="pct"/>
          </w:tcPr>
          <w:p>
            <w:pPr>
              <w:pStyle w:val="6"/>
              <w:ind w:firstLine="0" w:firstLineChars="0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380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4119" w:type="pct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卖方提供完整的使用手册和维护手册各一套。投标即响应（如中标后）设备安装时提供维修资料及线路图纸</w:t>
            </w:r>
          </w:p>
        </w:tc>
        <w:tc>
          <w:tcPr>
            <w:tcW w:w="500" w:type="pct"/>
          </w:tcPr>
          <w:p>
            <w:pPr>
              <w:pStyle w:val="6"/>
              <w:ind w:firstLine="0" w:firstLineChars="0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  <w:jc w:val="center"/>
        </w:trPr>
        <w:tc>
          <w:tcPr>
            <w:tcW w:w="380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4119" w:type="pct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安装设备时必须提供设备的跟机操作规程（应包括：适用范围与对象、操作人员要求、开机前注意事项及检查程序、对病人或标本的处理及注意事项、基本的标准操作程序</w:t>
            </w:r>
            <w:r>
              <w:rPr>
                <w:rFonts w:ascii="宋体" w:hAnsi="宋体"/>
                <w:szCs w:val="21"/>
              </w:rPr>
              <w:t>SOP</w:t>
            </w:r>
            <w:r>
              <w:rPr>
                <w:rFonts w:hint="eastAsia" w:ascii="宋体" w:hAnsi="宋体"/>
                <w:szCs w:val="21"/>
              </w:rPr>
              <w:t>、操作中注意事项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hint="eastAsia" w:ascii="宋体" w:hAnsi="宋体"/>
                <w:szCs w:val="21"/>
              </w:rPr>
              <w:t>安全风险及禁忌症、关机程序及常规保养要求、消耗品、易损部件及日常维护内容）</w:t>
            </w:r>
          </w:p>
        </w:tc>
        <w:tc>
          <w:tcPr>
            <w:tcW w:w="500" w:type="pct"/>
          </w:tcPr>
          <w:p>
            <w:pPr>
              <w:pStyle w:val="6"/>
              <w:ind w:firstLine="0" w:firstLineChars="0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380" w:type="pct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  <w:tc>
          <w:tcPr>
            <w:tcW w:w="4119" w:type="pct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安装设备时必须提供操作使用培训与维修技术培训</w:t>
            </w:r>
          </w:p>
        </w:tc>
        <w:tc>
          <w:tcPr>
            <w:tcW w:w="500" w:type="pct"/>
          </w:tcPr>
          <w:p>
            <w:pPr>
              <w:pStyle w:val="6"/>
              <w:ind w:firstLine="0" w:firstLineChars="0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380" w:type="pct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</w:t>
            </w:r>
          </w:p>
        </w:tc>
        <w:tc>
          <w:tcPr>
            <w:tcW w:w="4119" w:type="pct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维修响应时间＜</w:t>
            </w:r>
            <w:r>
              <w:rPr>
                <w:rFonts w:ascii="宋体" w:hAnsi="宋体"/>
                <w:szCs w:val="21"/>
              </w:rPr>
              <w:t>2</w:t>
            </w:r>
            <w:r>
              <w:rPr>
                <w:rFonts w:hint="eastAsia" w:ascii="宋体" w:hAnsi="宋体"/>
                <w:szCs w:val="21"/>
              </w:rPr>
              <w:t>小时，</w:t>
            </w:r>
            <w:r>
              <w:rPr>
                <w:rFonts w:ascii="宋体" w:hAnsi="宋体"/>
                <w:szCs w:val="21"/>
              </w:rPr>
              <w:t>48</w:t>
            </w:r>
            <w:r>
              <w:rPr>
                <w:rFonts w:hint="eastAsia" w:ascii="宋体" w:hAnsi="宋体"/>
                <w:szCs w:val="21"/>
              </w:rPr>
              <w:t>小时内上门维修，提供</w:t>
            </w:r>
            <w:r>
              <w:rPr>
                <w:rFonts w:ascii="宋体" w:hAnsi="宋体"/>
                <w:szCs w:val="21"/>
              </w:rPr>
              <w:t>24</w:t>
            </w:r>
            <w:r>
              <w:rPr>
                <w:rFonts w:hint="eastAsia" w:ascii="宋体" w:hAnsi="宋体"/>
                <w:szCs w:val="21"/>
              </w:rPr>
              <w:t>小时维修电话。</w:t>
            </w:r>
          </w:p>
        </w:tc>
        <w:tc>
          <w:tcPr>
            <w:tcW w:w="500" w:type="pct"/>
          </w:tcPr>
          <w:p>
            <w:pPr>
              <w:pStyle w:val="6"/>
              <w:ind w:firstLine="0" w:firstLineChars="0"/>
              <w:rPr>
                <w:szCs w:val="21"/>
              </w:rPr>
            </w:pPr>
          </w:p>
        </w:tc>
      </w:tr>
    </w:tbl>
    <w:p>
      <w:pPr>
        <w:rPr>
          <w:rFonts w:ascii="宋体" w:hAnsi="宋体" w:eastAsia="宋体" w:cs="宋体"/>
          <w:b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lang w:eastAsia="zh-CN"/>
        </w:rPr>
        <w:t>三、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>商务需求</w:t>
      </w:r>
    </w:p>
    <w:p>
      <w:pPr>
        <w:rPr>
          <w:rFonts w:hint="eastAsia" w:ascii="Calibri" w:hAnsi="Times New Roman" w:eastAsia="宋体" w:cs="Times New Roman"/>
          <w:sz w:val="24"/>
          <w:szCs w:val="24"/>
          <w:lang w:val="en-US" w:eastAsia="zh-CN" w:bidi="ar-SA"/>
        </w:rPr>
      </w:pPr>
      <w:r>
        <w:rPr>
          <w:rFonts w:hint="eastAsia" w:ascii="Calibri" w:hAnsi="Times New Roman" w:eastAsia="宋体" w:cs="Times New Roman"/>
          <w:sz w:val="24"/>
          <w:szCs w:val="24"/>
          <w:lang w:val="en-US" w:eastAsia="zh-CN" w:bidi="ar-SA"/>
        </w:rPr>
        <w:t>供应商：</w:t>
      </w:r>
    </w:p>
    <w:p>
      <w:pPr>
        <w:rPr>
          <w:rFonts w:hint="eastAsia" w:ascii="Calibri" w:hAnsi="Times New Roman" w:eastAsia="宋体" w:cs="Times New Roman"/>
          <w:sz w:val="24"/>
          <w:szCs w:val="24"/>
          <w:lang w:val="en-US" w:eastAsia="zh-CN" w:bidi="ar-SA"/>
        </w:rPr>
      </w:pPr>
      <w:r>
        <w:rPr>
          <w:rFonts w:hint="eastAsia" w:ascii="Calibri" w:hAnsi="Times New Roman" w:eastAsia="宋体" w:cs="Times New Roman"/>
          <w:sz w:val="24"/>
          <w:szCs w:val="24"/>
          <w:lang w:val="en-US" w:eastAsia="zh-CN" w:bidi="ar-SA"/>
        </w:rPr>
        <w:t>1、具有独立承担民事责任的能力。</w:t>
      </w:r>
    </w:p>
    <w:p>
      <w:pPr>
        <w:rPr>
          <w:rFonts w:hint="eastAsia" w:ascii="Calibri" w:hAnsi="Times New Roman" w:eastAsia="宋体" w:cs="Times New Roman"/>
          <w:sz w:val="24"/>
          <w:szCs w:val="24"/>
          <w:lang w:val="en-US" w:eastAsia="zh-CN" w:bidi="ar-SA"/>
        </w:rPr>
      </w:pPr>
      <w:r>
        <w:rPr>
          <w:rFonts w:hint="eastAsia" w:ascii="Calibri" w:hAnsi="Times New Roman" w:eastAsia="宋体" w:cs="Times New Roman"/>
          <w:sz w:val="24"/>
          <w:szCs w:val="24"/>
          <w:lang w:val="en-US" w:eastAsia="zh-CN" w:bidi="ar-SA"/>
        </w:rPr>
        <w:t>2、参加政府采购活动前3年内，在经营活动中没有重大违法记录。</w:t>
      </w:r>
    </w:p>
    <w:p>
      <w:pPr>
        <w:rPr>
          <w:rFonts w:hint="eastAsia" w:ascii="Calibri" w:hAnsi="Times New Roman" w:eastAsia="宋体" w:cs="Times New Roman"/>
          <w:sz w:val="24"/>
          <w:szCs w:val="24"/>
          <w:lang w:val="en-US" w:eastAsia="zh-CN" w:bidi="ar-SA"/>
        </w:rPr>
      </w:pPr>
      <w:r>
        <w:rPr>
          <w:rFonts w:hint="eastAsia" w:hAnsi="Times New Roman" w:eastAsia="宋体" w:cs="Times New Roman"/>
          <w:sz w:val="24"/>
          <w:szCs w:val="24"/>
          <w:lang w:val="en-US" w:eastAsia="zh-CN" w:bidi="ar-SA"/>
        </w:rPr>
        <w:t>3</w:t>
      </w:r>
      <w:r>
        <w:rPr>
          <w:rFonts w:hint="eastAsia" w:ascii="Calibri" w:hAnsi="Times New Roman" w:eastAsia="宋体" w:cs="Times New Roman"/>
          <w:sz w:val="24"/>
          <w:szCs w:val="24"/>
          <w:lang w:val="en-US" w:eastAsia="zh-CN" w:bidi="ar-SA"/>
        </w:rPr>
        <w:t>、供应商须具备具有经营许可证，授权书，产品注册证等相关证件。</w:t>
      </w:r>
    </w:p>
    <w:p>
      <w:pPr>
        <w:rPr>
          <w:rFonts w:hint="eastAsia" w:ascii="Calibri" w:hAnsi="Times New Roman" w:eastAsia="宋体" w:cs="Times New Roman"/>
          <w:sz w:val="24"/>
          <w:szCs w:val="24"/>
          <w:lang w:val="en-US" w:eastAsia="zh-CN" w:bidi="ar-SA"/>
        </w:rPr>
      </w:pPr>
      <w:r>
        <w:rPr>
          <w:rFonts w:hint="eastAsia" w:ascii="Calibri" w:hAnsi="Times New Roman" w:eastAsia="宋体" w:cs="Times New Roman"/>
          <w:sz w:val="24"/>
          <w:szCs w:val="24"/>
          <w:lang w:val="en-US" w:eastAsia="zh-CN" w:bidi="ar-SA"/>
        </w:rPr>
        <w:t>四、报价文件：</w:t>
      </w:r>
    </w:p>
    <w:p>
      <w:pPr>
        <w:rPr>
          <w:rFonts w:hint="eastAsia" w:ascii="Calibri" w:hAnsi="Times New Roman" w:eastAsia="宋体" w:cs="Times New Roman"/>
          <w:sz w:val="24"/>
          <w:szCs w:val="24"/>
          <w:lang w:val="en-US" w:eastAsia="zh-CN" w:bidi="ar-SA"/>
        </w:rPr>
      </w:pPr>
      <w:r>
        <w:rPr>
          <w:rFonts w:hint="eastAsia" w:ascii="Calibri" w:hAnsi="Times New Roman" w:eastAsia="宋体" w:cs="Times New Roman"/>
          <w:sz w:val="24"/>
          <w:szCs w:val="24"/>
          <w:lang w:val="en-US" w:eastAsia="zh-CN" w:bidi="ar-SA"/>
        </w:rPr>
        <w:t> 1、报价须带文件资料:①营业执照、②法人身份证等相关复印件、③业务员参加的须提供授权委托书和业务员身份证复印件、④报价单。以上资料必须齐全并加盖单位公章，否则该报价文件作无效处理。</w:t>
      </w:r>
    </w:p>
    <w:p>
      <w:pPr>
        <w:rPr>
          <w:rFonts w:hint="eastAsia" w:ascii="Calibri" w:hAnsi="Times New Roman" w:eastAsia="宋体" w:cs="Times New Roman"/>
          <w:sz w:val="24"/>
          <w:szCs w:val="24"/>
          <w:lang w:val="en-US" w:eastAsia="zh-CN" w:bidi="ar-SA"/>
        </w:rPr>
      </w:pPr>
      <w:r>
        <w:rPr>
          <w:rFonts w:hint="eastAsia" w:ascii="Calibri" w:hAnsi="Times New Roman" w:eastAsia="宋体" w:cs="Times New Roman"/>
          <w:sz w:val="24"/>
          <w:szCs w:val="24"/>
          <w:lang w:val="en-US" w:eastAsia="zh-CN" w:bidi="ar-SA"/>
        </w:rPr>
        <w:t>2、报价文件递交截止时间：2024年4月29日北京时间16时，在截止时间后送达的响应文件为无效文件，拒绝接收。</w:t>
      </w:r>
    </w:p>
    <w:p>
      <w:pPr>
        <w:rPr>
          <w:rFonts w:hint="eastAsia" w:ascii="Calibri" w:hAnsi="Times New Roman" w:eastAsia="宋体" w:cs="Times New Roman"/>
          <w:sz w:val="24"/>
          <w:szCs w:val="24"/>
          <w:lang w:val="en-US" w:eastAsia="zh-CN" w:bidi="ar-SA"/>
        </w:rPr>
      </w:pPr>
      <w:r>
        <w:rPr>
          <w:rFonts w:hint="eastAsia" w:ascii="Calibri" w:hAnsi="Times New Roman" w:eastAsia="宋体" w:cs="Times New Roman"/>
          <w:sz w:val="24"/>
          <w:szCs w:val="24"/>
          <w:lang w:val="en-US" w:eastAsia="zh-CN" w:bidi="ar-SA"/>
        </w:rPr>
        <w:t>3、报价文件报送方式：密封后送达绍兴市妇幼保健院设备科，密封袋表面必须标注此项目名称。</w:t>
      </w:r>
    </w:p>
    <w:p>
      <w:pPr>
        <w:rPr>
          <w:rFonts w:hint="eastAsia" w:ascii="Calibri" w:hAnsi="Times New Roman" w:eastAsia="宋体" w:cs="Times New Roman"/>
          <w:sz w:val="24"/>
          <w:szCs w:val="24"/>
          <w:lang w:val="en-US" w:eastAsia="zh-CN" w:bidi="ar-SA"/>
        </w:rPr>
      </w:pPr>
      <w:r>
        <w:rPr>
          <w:rFonts w:hint="eastAsia" w:ascii="Calibri" w:hAnsi="Times New Roman" w:eastAsia="宋体" w:cs="Times New Roman"/>
          <w:sz w:val="24"/>
          <w:szCs w:val="24"/>
          <w:lang w:val="en-US" w:eastAsia="zh-CN" w:bidi="ar-SA"/>
        </w:rPr>
        <w:t>五、评定成交标准：</w:t>
      </w:r>
    </w:p>
    <w:p>
      <w:pPr>
        <w:rPr>
          <w:rFonts w:hint="eastAsia" w:ascii="Calibri" w:hAnsi="Times New Roman" w:eastAsia="宋体" w:cs="Times New Roman"/>
          <w:sz w:val="24"/>
          <w:szCs w:val="24"/>
          <w:lang w:val="en-US" w:eastAsia="zh-CN" w:bidi="ar-SA"/>
        </w:rPr>
      </w:pPr>
      <w:r>
        <w:rPr>
          <w:rFonts w:hint="eastAsia" w:ascii="Calibri" w:hAnsi="Times New Roman" w:eastAsia="宋体" w:cs="Times New Roman"/>
          <w:sz w:val="24"/>
          <w:szCs w:val="24"/>
          <w:lang w:val="en-US" w:eastAsia="zh-CN" w:bidi="ar-SA"/>
        </w:rPr>
        <w:t>根据质量和服务均能满足询价文件实质性响应要求(本内容均为实质性条款，不允许出现负偏离，否则作无效投标处理）且报价最低的原则确定成交供应商（若出现最低价相同的，则以抽签决定成交供应商）。</w:t>
      </w:r>
    </w:p>
    <w:p>
      <w:pPr>
        <w:rPr>
          <w:rFonts w:hint="eastAsia" w:ascii="Calibri" w:hAnsi="Times New Roman" w:eastAsia="宋体" w:cs="Times New Roman"/>
          <w:sz w:val="24"/>
          <w:szCs w:val="24"/>
          <w:lang w:val="en-US" w:eastAsia="zh-CN" w:bidi="ar-SA"/>
        </w:rPr>
      </w:pPr>
      <w:r>
        <w:rPr>
          <w:rFonts w:hint="eastAsia" w:ascii="Calibri" w:hAnsi="Times New Roman" w:eastAsia="宋体" w:cs="Times New Roman"/>
          <w:sz w:val="24"/>
          <w:szCs w:val="24"/>
          <w:lang w:val="en-US" w:eastAsia="zh-CN" w:bidi="ar-SA"/>
        </w:rPr>
        <w:t>六、联系方式：</w:t>
      </w:r>
    </w:p>
    <w:p>
      <w:pPr>
        <w:rPr>
          <w:rFonts w:hint="default" w:ascii="Calibri" w:hAnsi="Times New Roman" w:eastAsia="宋体" w:cs="Times New Roman"/>
          <w:sz w:val="24"/>
          <w:szCs w:val="24"/>
          <w:lang w:val="en-US" w:eastAsia="zh-CN" w:bidi="ar-SA"/>
        </w:rPr>
      </w:pPr>
      <w:r>
        <w:rPr>
          <w:rFonts w:hint="eastAsia" w:ascii="Calibri" w:hAnsi="Times New Roman" w:eastAsia="宋体" w:cs="Times New Roman"/>
          <w:sz w:val="24"/>
          <w:szCs w:val="24"/>
          <w:lang w:val="en-US" w:eastAsia="zh-CN" w:bidi="ar-SA"/>
        </w:rPr>
        <w:t>联系人：张老师                         联系电话：18358505681</w:t>
      </w:r>
      <w:bookmarkStart w:id="0" w:name="_GoBack"/>
      <w:bookmarkEnd w:id="0"/>
    </w:p>
    <w:p>
      <w:pPr>
        <w:rPr>
          <w:rFonts w:hint="eastAsia" w:ascii="Calibri" w:hAnsi="Times New Roman" w:eastAsia="宋体" w:cs="Times New Roman"/>
          <w:sz w:val="24"/>
          <w:szCs w:val="24"/>
          <w:lang w:val="en-US" w:eastAsia="zh-CN" w:bidi="ar-SA"/>
        </w:rPr>
      </w:pPr>
      <w:r>
        <w:rPr>
          <w:rFonts w:hint="eastAsia" w:ascii="Calibri" w:hAnsi="Times New Roman" w:eastAsia="宋体" w:cs="Times New Roman"/>
          <w:sz w:val="24"/>
          <w:szCs w:val="24"/>
          <w:lang w:val="en-US" w:eastAsia="zh-CN" w:bidi="ar-SA"/>
        </w:rPr>
        <w:t>联系地址：浙江省绍兴市越城区凤林东路222号绍兴市妇幼保健院</w:t>
      </w:r>
    </w:p>
    <w:p>
      <w:pPr>
        <w:rPr>
          <w:rFonts w:hint="default" w:ascii="Calibri" w:hAnsi="Times New Roman" w:eastAsia="宋体" w:cs="Times New Roman"/>
          <w:sz w:val="24"/>
          <w:szCs w:val="24"/>
          <w:lang w:val="en-US" w:eastAsia="zh-CN" w:bidi="ar-SA"/>
        </w:rPr>
      </w:pPr>
    </w:p>
    <w:p>
      <w:pPr>
        <w:jc w:val="right"/>
        <w:rPr>
          <w:rFonts w:hint="eastAsia" w:ascii="Calibri" w:hAnsi="Times New Roman" w:eastAsia="宋体" w:cs="Times New Roman"/>
          <w:sz w:val="24"/>
          <w:szCs w:val="24"/>
          <w:lang w:val="en-US" w:eastAsia="zh-CN" w:bidi="ar-SA"/>
        </w:rPr>
      </w:pPr>
      <w:r>
        <w:rPr>
          <w:rFonts w:hint="eastAsia" w:ascii="Calibri" w:hAnsi="Times New Roman" w:eastAsia="宋体" w:cs="Times New Roman"/>
          <w:sz w:val="24"/>
          <w:szCs w:val="24"/>
          <w:lang w:val="en-US" w:eastAsia="zh-CN" w:bidi="ar-SA"/>
        </w:rPr>
        <w:t>                                                                   绍兴市妇幼保健院</w:t>
      </w:r>
    </w:p>
    <w:p>
      <w:pPr>
        <w:jc w:val="right"/>
        <w:rPr>
          <w:rFonts w:hint="eastAsia"/>
          <w:sz w:val="21"/>
          <w:szCs w:val="21"/>
        </w:rPr>
      </w:pPr>
      <w:r>
        <w:rPr>
          <w:rFonts w:hint="eastAsia" w:ascii="Calibri" w:hAnsi="Times New Roman" w:eastAsia="宋体" w:cs="Times New Roman"/>
          <w:sz w:val="24"/>
          <w:szCs w:val="24"/>
          <w:lang w:val="en-US" w:eastAsia="zh-CN" w:bidi="ar-SA"/>
        </w:rPr>
        <w:t>2024年4月26日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/>
          <w:color w:val="000000"/>
          <w:kern w:val="0"/>
          <w:sz w:val="30"/>
          <w:szCs w:val="30"/>
          <w:lang w:val="zh-TW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CB017FC"/>
    <w:multiLevelType w:val="multilevel"/>
    <w:tmpl w:val="5CB017FC"/>
    <w:lvl w:ilvl="0" w:tentative="0">
      <w:start w:val="1"/>
      <w:numFmt w:val="decimal"/>
      <w:pStyle w:val="2"/>
      <w:suff w:val="space"/>
      <w:lvlText w:val="第 %1 章"/>
      <w:lvlJc w:val="left"/>
      <w:pPr>
        <w:ind w:left="425" w:hanging="425"/>
      </w:pPr>
      <w:rPr>
        <w:rFonts w:hint="eastAsia"/>
      </w:rPr>
    </w:lvl>
    <w:lvl w:ilvl="1" w:tentative="0">
      <w:start w:val="1"/>
      <w:numFmt w:val="decimal"/>
      <w:lvlText w:val="%1.%2 "/>
      <w:lvlJc w:val="left"/>
      <w:pPr>
        <w:tabs>
          <w:tab w:val="left" w:pos="1145"/>
        </w:tabs>
        <w:ind w:left="992" w:hanging="567"/>
      </w:pPr>
      <w:rPr>
        <w:rFonts w:hint="eastAsia"/>
      </w:rPr>
    </w:lvl>
    <w:lvl w:ilvl="2" w:tentative="0">
      <w:start w:val="1"/>
      <w:numFmt w:val="decimal"/>
      <w:lvlText w:val="〔%3〕、"/>
      <w:lvlJc w:val="left"/>
      <w:pPr>
        <w:tabs>
          <w:tab w:val="left" w:pos="2651"/>
        </w:tabs>
        <w:ind w:left="1418" w:hanging="567"/>
      </w:pPr>
      <w:rPr>
        <w:rFonts w:hint="eastAsia"/>
      </w:rPr>
    </w:lvl>
    <w:lvl w:ilvl="3" w:tentative="0">
      <w:start w:val="1"/>
      <w:numFmt w:val="none"/>
      <w:lvlText w:val=""/>
      <w:lvlJc w:val="left"/>
      <w:pPr>
        <w:tabs>
          <w:tab w:val="left" w:pos="1984"/>
        </w:tabs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4351"/>
        </w:tabs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lOGFkOThkOTU3YzA2YzYyMTc5NTYxMWJmNzMwMTQifQ=="/>
  </w:docVars>
  <w:rsids>
    <w:rsidRoot w:val="34405F5D"/>
    <w:rsid w:val="01164774"/>
    <w:rsid w:val="024F1016"/>
    <w:rsid w:val="04B96FAE"/>
    <w:rsid w:val="05D435B9"/>
    <w:rsid w:val="0A7B108A"/>
    <w:rsid w:val="10B379BE"/>
    <w:rsid w:val="1C57280B"/>
    <w:rsid w:val="208C24AA"/>
    <w:rsid w:val="250A26FB"/>
    <w:rsid w:val="2A066005"/>
    <w:rsid w:val="3093729A"/>
    <w:rsid w:val="34405F5D"/>
    <w:rsid w:val="47693BDE"/>
    <w:rsid w:val="47A04ACD"/>
    <w:rsid w:val="49C34AA3"/>
    <w:rsid w:val="5DDE7CA6"/>
    <w:rsid w:val="609F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numPr>
        <w:ilvl w:val="0"/>
        <w:numId w:val="1"/>
      </w:numPr>
      <w:spacing w:before="340" w:after="330" w:line="578" w:lineRule="auto"/>
      <w:outlineLvl w:val="0"/>
    </w:pPr>
    <w:rPr>
      <w:rFonts w:eastAsia="仿宋_GB2312"/>
      <w:b/>
      <w:kern w:val="44"/>
      <w:sz w:val="44"/>
      <w:szCs w:val="20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autoRedefine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892</Words>
  <Characters>984</Characters>
  <Lines>0</Lines>
  <Paragraphs>0</Paragraphs>
  <TotalTime>0</TotalTime>
  <ScaleCrop>false</ScaleCrop>
  <LinksUpToDate>false</LinksUpToDate>
  <CharactersWithSpaces>988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2022-08-18T01:22:00Z</dcterms:created>
  <dc:creator>胖头鱼</dc:creator>
  <cp:lastModifiedBy>胖头鱼</cp:lastModifiedBy>
  <dcterms:modified xsi:type="dcterms:W3CDTF">2024-04-26T06:44:05Z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BC6CC22487D64B829F6DF7A9F005E8ED_13</vt:lpwstr>
  </property>
</Properties>
</file>