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关于</w:t>
      </w:r>
      <w:r>
        <w:rPr>
          <w:rFonts w:hint="eastAsia"/>
          <w:sz w:val="36"/>
          <w:szCs w:val="44"/>
          <w:lang w:eastAsia="zh-CN"/>
        </w:rPr>
        <w:t>倒置显</w:t>
      </w:r>
      <w:bookmarkStart w:id="0" w:name="_GoBack"/>
      <w:bookmarkEnd w:id="0"/>
      <w:r>
        <w:rPr>
          <w:rFonts w:hint="eastAsia"/>
          <w:sz w:val="36"/>
          <w:szCs w:val="44"/>
          <w:lang w:eastAsia="zh-CN"/>
        </w:rPr>
        <w:t>微镜采</w:t>
      </w:r>
      <w:r>
        <w:rPr>
          <w:rFonts w:hint="eastAsia"/>
          <w:sz w:val="36"/>
          <w:szCs w:val="44"/>
        </w:rPr>
        <w:t>购的询价公告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按照绍兴市妇幼保健院采购需求，</w:t>
      </w:r>
      <w:r>
        <w:rPr>
          <w:rFonts w:hint="eastAsia"/>
          <w:sz w:val="24"/>
          <w:szCs w:val="24"/>
          <w:lang w:eastAsia="zh-CN"/>
        </w:rPr>
        <w:t>设备</w:t>
      </w:r>
      <w:r>
        <w:rPr>
          <w:rFonts w:hint="eastAsia"/>
          <w:sz w:val="24"/>
          <w:szCs w:val="24"/>
        </w:rPr>
        <w:t>科对</w:t>
      </w:r>
      <w:r>
        <w:rPr>
          <w:rFonts w:hint="eastAsia"/>
          <w:sz w:val="24"/>
          <w:szCs w:val="24"/>
          <w:lang w:eastAsia="zh-CN"/>
        </w:rPr>
        <w:t>倒置显微镜</w:t>
      </w:r>
      <w:r>
        <w:rPr>
          <w:rFonts w:hint="eastAsia"/>
          <w:sz w:val="24"/>
          <w:szCs w:val="24"/>
        </w:rPr>
        <w:t>采购项目进行询价，欢迎符合要求的供应商进行报价。</w:t>
      </w:r>
    </w:p>
    <w:p>
      <w:pPr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  <w:lang w:eastAsia="zh-CN"/>
        </w:rPr>
        <w:t>倒置显微镜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</w:rPr>
        <w:t>1.项目预算：</w:t>
      </w:r>
      <w:r>
        <w:rPr>
          <w:rFonts w:hint="eastAsia"/>
          <w:sz w:val="24"/>
          <w:szCs w:val="24"/>
          <w:lang w:val="en-US" w:eastAsia="zh-CN"/>
        </w:rPr>
        <w:t>1.8万元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2.询价项目概况（内容、用途、数量、简要技术要求等）:</w:t>
      </w:r>
    </w:p>
    <w:p>
      <w:pPr>
        <w:jc w:val="center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报价清单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9"/>
        <w:gridCol w:w="1766"/>
        <w:gridCol w:w="1569"/>
        <w:gridCol w:w="1444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829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产品名称</w:t>
            </w:r>
          </w:p>
        </w:tc>
        <w:tc>
          <w:tcPr>
            <w:tcW w:w="1766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品牌</w:t>
            </w:r>
          </w:p>
        </w:tc>
        <w:tc>
          <w:tcPr>
            <w:tcW w:w="1569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型号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单价（元）</w:t>
            </w:r>
          </w:p>
        </w:tc>
        <w:tc>
          <w:tcPr>
            <w:tcW w:w="83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82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倒置显微镜</w:t>
            </w:r>
          </w:p>
        </w:tc>
        <w:tc>
          <w:tcPr>
            <w:tcW w:w="1766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9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18000</w:t>
            </w:r>
          </w:p>
        </w:tc>
        <w:tc>
          <w:tcPr>
            <w:tcW w:w="830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1个</w:t>
            </w:r>
          </w:p>
        </w:tc>
      </w:tr>
    </w:tbl>
    <w:p>
      <w:pPr>
        <w:rPr>
          <w:rFonts w:ascii="宋体" w:hAnsi="宋体" w:cs="宋体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u w:color="000000"/>
          <w:lang w:val="zh-TW"/>
        </w:rPr>
        <w:t>二、技术参数</w:t>
      </w:r>
    </w:p>
    <w:tbl>
      <w:tblPr>
        <w:tblStyle w:val="5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020"/>
        <w:gridCol w:w="8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118" w:type="pct"/>
            <w:vAlign w:val="center"/>
          </w:tcPr>
          <w:p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整机要求：</w:t>
            </w:r>
          </w:p>
        </w:tc>
        <w:tc>
          <w:tcPr>
            <w:tcW w:w="501" w:type="pct"/>
            <w:vAlign w:val="center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118" w:type="pct"/>
            <w:vAlign w:val="center"/>
          </w:tcPr>
          <w:p>
            <w:pPr>
              <w:ind w:firstLine="480" w:firstLineChars="20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采用优良的无限远光学系统，配置长工作距离平场物镜与大视野目镜。旋转摆入摆出式聚光灯系统，可对高培养皿或圆筒状烧杯进行无沾染培养细胞观察，符合人机工程学要求的理想设计。本仪器适用于对细胞观察，透明液态组织的显微观察，也可对培养皿中的培养组织进行动态显微观察，可应用与科研院所、高等院校、医疗卫生、检验检疫、农牧乳业等部门。</w:t>
            </w:r>
          </w:p>
        </w:tc>
        <w:tc>
          <w:tcPr>
            <w:tcW w:w="501" w:type="pct"/>
            <w:vAlign w:val="center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118" w:type="pct"/>
            <w:vAlign w:val="center"/>
          </w:tcPr>
          <w:p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设备参数：</w:t>
            </w:r>
          </w:p>
        </w:tc>
        <w:tc>
          <w:tcPr>
            <w:tcW w:w="501" w:type="pct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118" w:type="pct"/>
            <w:vAlign w:val="center"/>
          </w:tcPr>
          <w:p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目镜：10X平场大视野目镜</w:t>
            </w:r>
          </w:p>
        </w:tc>
        <w:tc>
          <w:tcPr>
            <w:tcW w:w="501" w:type="pct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380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4118" w:type="pct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物镜（无限远长工作距离平场消色差物镜）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PL L10X/0.25 工作距离：19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±0.5</w:t>
            </w:r>
            <w:r>
              <w:rPr>
                <w:rFonts w:hint="eastAsia"/>
                <w:sz w:val="24"/>
                <w:szCs w:val="24"/>
              </w:rPr>
              <w:t>mm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PL L10X（相衬）/0.25 工作距离：4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±0.5</w:t>
            </w:r>
            <w:r>
              <w:rPr>
                <w:rFonts w:hint="eastAsia"/>
                <w:sz w:val="24"/>
                <w:szCs w:val="24"/>
              </w:rPr>
              <w:t>mm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PL L20X（相衬）/0.4 工作距离：8.0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±0.5</w:t>
            </w:r>
            <w:r>
              <w:rPr>
                <w:rFonts w:hint="eastAsia"/>
                <w:sz w:val="24"/>
                <w:szCs w:val="24"/>
              </w:rPr>
              <w:t>mm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PLL40X（相衬）/0.65 工作距离：3.5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±0.5</w:t>
            </w:r>
            <w:r>
              <w:rPr>
                <w:rFonts w:hint="eastAsia"/>
                <w:sz w:val="24"/>
                <w:szCs w:val="24"/>
              </w:rPr>
              <w:t>mm</w:t>
            </w:r>
          </w:p>
        </w:tc>
        <w:tc>
          <w:tcPr>
            <w:tcW w:w="501" w:type="pct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4118" w:type="pct"/>
            <w:vAlign w:val="center"/>
          </w:tcPr>
          <w:p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目镜筒：45°倾斜，双目瞳距调节范围：53-75mm</w:t>
            </w:r>
          </w:p>
        </w:tc>
        <w:tc>
          <w:tcPr>
            <w:tcW w:w="501" w:type="pct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4118" w:type="pct"/>
            <w:vAlign w:val="center"/>
          </w:tcPr>
          <w:p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调焦机构：粗微动同轴调焦，微动格值：</w:t>
            </w:r>
            <w:r>
              <w:rPr>
                <w:rFonts w:hint="eastAsia"/>
                <w:sz w:val="24"/>
                <w:szCs w:val="24"/>
                <w:lang w:eastAsia="zh-CN"/>
              </w:rPr>
              <w:t>≤</w:t>
            </w:r>
            <w:r>
              <w:rPr>
                <w:rFonts w:hint="eastAsia"/>
                <w:sz w:val="24"/>
                <w:szCs w:val="24"/>
              </w:rPr>
              <w:t>2μm，粗动松紧可调，带锁紧和限位装置</w:t>
            </w:r>
          </w:p>
        </w:tc>
        <w:tc>
          <w:tcPr>
            <w:tcW w:w="501" w:type="pct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</w:tcPr>
          <w:p>
            <w:pPr>
              <w:pStyle w:val="9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4118" w:type="pct"/>
            <w:vAlign w:val="center"/>
          </w:tcPr>
          <w:p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转换器：五孔转换器</w:t>
            </w:r>
          </w:p>
        </w:tc>
        <w:tc>
          <w:tcPr>
            <w:tcW w:w="501" w:type="pct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4118" w:type="pct"/>
            <w:vAlign w:val="center"/>
          </w:tcPr>
          <w:p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载物台：固定载物台尺寸：227mm×208mm 玻璃圆载物台板尺寸：φ118mm</w:t>
            </w:r>
          </w:p>
        </w:tc>
        <w:tc>
          <w:tcPr>
            <w:tcW w:w="501" w:type="pct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4118" w:type="pct"/>
            <w:vAlign w:val="center"/>
          </w:tcPr>
          <w:p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聚光系统：特长工作距离聚光灯，工作距离55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±5</w:t>
            </w:r>
            <w:r>
              <w:rPr>
                <w:rFonts w:hint="eastAsia"/>
                <w:sz w:val="24"/>
                <w:szCs w:val="24"/>
              </w:rPr>
              <w:t>mm，带相衬装置</w:t>
            </w:r>
          </w:p>
        </w:tc>
        <w:tc>
          <w:tcPr>
            <w:tcW w:w="501" w:type="pct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118" w:type="pct"/>
            <w:vAlign w:val="center"/>
          </w:tcPr>
          <w:p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照明系统：卤素灯，亮度与空间位置可调</w:t>
            </w:r>
          </w:p>
        </w:tc>
        <w:tc>
          <w:tcPr>
            <w:tcW w:w="501" w:type="pct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118" w:type="pct"/>
            <w:vAlign w:val="center"/>
          </w:tcPr>
          <w:p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滤色片：磨砂玻璃、蓝、绿滤色片</w:t>
            </w:r>
          </w:p>
        </w:tc>
        <w:tc>
          <w:tcPr>
            <w:tcW w:w="501" w:type="pct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118" w:type="pct"/>
            <w:vAlign w:val="center"/>
          </w:tcPr>
          <w:p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偏光装置：简易偏光</w:t>
            </w:r>
          </w:p>
        </w:tc>
        <w:tc>
          <w:tcPr>
            <w:tcW w:w="501" w:type="pct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118" w:type="pct"/>
            <w:vAlign w:val="center"/>
          </w:tcPr>
          <w:p>
            <w:pPr>
              <w:rPr>
                <w:bCs/>
                <w:color w:val="000000"/>
                <w:szCs w:val="21"/>
              </w:rPr>
            </w:pPr>
            <w:r>
              <w:rPr>
                <w:rFonts w:hint="eastAsia" w:hAnsiTheme="minorEastAsia" w:cstheme="minorEastAsia"/>
                <w:sz w:val="24"/>
                <w:szCs w:val="24"/>
              </w:rPr>
              <w:t>最大分辨率：</w:t>
            </w:r>
            <w:r>
              <w:rPr>
                <w:rFonts w:hint="eastAsia" w:hAnsiTheme="minorEastAsia" w:cstheme="minorEastAsia"/>
                <w:sz w:val="24"/>
                <w:szCs w:val="24"/>
                <w:lang w:eastAsia="zh-CN"/>
              </w:rPr>
              <w:t>≥</w:t>
            </w:r>
            <w:r>
              <w:rPr>
                <w:rFonts w:hint="eastAsia"/>
                <w:sz w:val="24"/>
                <w:szCs w:val="24"/>
              </w:rPr>
              <w:t>3840*2160</w:t>
            </w:r>
          </w:p>
        </w:tc>
        <w:tc>
          <w:tcPr>
            <w:tcW w:w="501" w:type="pct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4118" w:type="pct"/>
            <w:vAlign w:val="center"/>
          </w:tcPr>
          <w:p>
            <w:pPr>
              <w:rPr>
                <w:bCs/>
                <w:color w:val="000000"/>
                <w:szCs w:val="21"/>
              </w:rPr>
            </w:pPr>
            <w:r>
              <w:rPr>
                <w:rFonts w:hint="eastAsia" w:hAnsiTheme="minorEastAsia" w:cstheme="minorEastAsia"/>
                <w:sz w:val="24"/>
                <w:szCs w:val="24"/>
              </w:rPr>
              <w:t>像元尺寸：</w:t>
            </w:r>
            <w:r>
              <w:rPr>
                <w:rFonts w:hint="eastAsia" w:hAnsiTheme="minorEastAsia" w:cstheme="minorEastAsia"/>
                <w:sz w:val="24"/>
                <w:szCs w:val="24"/>
                <w:lang w:eastAsia="zh-CN"/>
              </w:rPr>
              <w:t>≤</w:t>
            </w:r>
            <w:r>
              <w:rPr>
                <w:rFonts w:hint="eastAsia"/>
                <w:sz w:val="24"/>
                <w:szCs w:val="24"/>
              </w:rPr>
              <w:t>1.62um*1.62um</w:t>
            </w:r>
          </w:p>
        </w:tc>
        <w:tc>
          <w:tcPr>
            <w:tcW w:w="501" w:type="pct"/>
          </w:tcPr>
          <w:p>
            <w:pPr>
              <w:pStyle w:val="9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4118" w:type="pct"/>
            <w:vAlign w:val="center"/>
          </w:tcPr>
          <w:p>
            <w:pPr>
              <w:rPr>
                <w:bCs/>
                <w:color w:val="000000"/>
                <w:szCs w:val="21"/>
              </w:rPr>
            </w:pPr>
            <w:r>
              <w:rPr>
                <w:rFonts w:hint="eastAsia" w:hAnsiTheme="minorEastAsia" w:cstheme="minorEastAsia"/>
                <w:sz w:val="24"/>
                <w:szCs w:val="24"/>
              </w:rPr>
              <w:t>靶面尺寸：</w:t>
            </w:r>
            <w:r>
              <w:rPr>
                <w:rFonts w:hint="eastAsia"/>
                <w:sz w:val="24"/>
                <w:szCs w:val="24"/>
              </w:rPr>
              <w:t>1/1.7</w:t>
            </w:r>
          </w:p>
        </w:tc>
        <w:tc>
          <w:tcPr>
            <w:tcW w:w="501" w:type="pct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4118" w:type="pct"/>
            <w:vAlign w:val="center"/>
          </w:tcPr>
          <w:p>
            <w:pPr>
              <w:rPr>
                <w:bCs/>
                <w:color w:val="000000"/>
                <w:szCs w:val="21"/>
              </w:rPr>
            </w:pPr>
            <w:r>
              <w:rPr>
                <w:rFonts w:hint="eastAsia" w:hAnsiTheme="minorEastAsia" w:cstheme="minorEastAsia"/>
                <w:sz w:val="24"/>
                <w:szCs w:val="24"/>
              </w:rPr>
              <w:t>数据位数：</w:t>
            </w:r>
            <w:r>
              <w:rPr>
                <w:rFonts w:hint="eastAsia"/>
                <w:sz w:val="24"/>
                <w:szCs w:val="24"/>
              </w:rPr>
              <w:t>12bit</w:t>
            </w:r>
          </w:p>
        </w:tc>
        <w:tc>
          <w:tcPr>
            <w:tcW w:w="501" w:type="pct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4118" w:type="pct"/>
            <w:vAlign w:val="center"/>
          </w:tcPr>
          <w:p>
            <w:pPr>
              <w:rPr>
                <w:bCs/>
                <w:color w:val="000000"/>
                <w:szCs w:val="21"/>
              </w:rPr>
            </w:pPr>
            <w:r>
              <w:rPr>
                <w:rFonts w:hint="eastAsia" w:hAnsiTheme="minorEastAsia" w:cstheme="minorEastAsia"/>
                <w:sz w:val="24"/>
                <w:szCs w:val="24"/>
              </w:rPr>
              <w:t>曝光方式：</w:t>
            </w:r>
            <w:r>
              <w:rPr>
                <w:rFonts w:hint="eastAsia"/>
                <w:sz w:val="24"/>
                <w:szCs w:val="24"/>
              </w:rPr>
              <w:t>逐行扫描</w:t>
            </w:r>
          </w:p>
        </w:tc>
        <w:tc>
          <w:tcPr>
            <w:tcW w:w="501" w:type="pct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4118" w:type="pct"/>
            <w:vAlign w:val="center"/>
          </w:tcPr>
          <w:p>
            <w:pPr>
              <w:rPr>
                <w:bCs/>
                <w:color w:val="000000"/>
                <w:szCs w:val="21"/>
              </w:rPr>
            </w:pPr>
            <w:r>
              <w:rPr>
                <w:rFonts w:hint="eastAsia" w:hAnsiTheme="minorEastAsia" w:cstheme="minorEastAsia"/>
                <w:sz w:val="24"/>
                <w:szCs w:val="24"/>
              </w:rPr>
              <w:t>输出颜色：</w:t>
            </w:r>
            <w:r>
              <w:rPr>
                <w:rFonts w:hint="eastAsia"/>
                <w:sz w:val="24"/>
                <w:szCs w:val="24"/>
              </w:rPr>
              <w:t>彩色</w:t>
            </w:r>
          </w:p>
        </w:tc>
        <w:tc>
          <w:tcPr>
            <w:tcW w:w="501" w:type="pct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4118" w:type="pct"/>
            <w:vAlign w:val="center"/>
          </w:tcPr>
          <w:p>
            <w:pPr>
              <w:rPr>
                <w:bCs/>
                <w:color w:val="000000"/>
                <w:szCs w:val="21"/>
              </w:rPr>
            </w:pPr>
            <w:r>
              <w:rPr>
                <w:rFonts w:hint="eastAsia" w:hAnsiTheme="minorEastAsia" w:cstheme="minorEastAsia"/>
                <w:sz w:val="24"/>
                <w:szCs w:val="24"/>
              </w:rPr>
              <w:t>输出帧率：</w:t>
            </w:r>
            <w:r>
              <w:rPr>
                <w:rFonts w:hint="eastAsia"/>
                <w:sz w:val="24"/>
                <w:szCs w:val="24"/>
              </w:rPr>
              <w:t>4K输出30FPS/1080P输出60FPS</w:t>
            </w:r>
          </w:p>
        </w:tc>
        <w:tc>
          <w:tcPr>
            <w:tcW w:w="501" w:type="pct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118" w:type="pct"/>
            <w:vAlign w:val="center"/>
          </w:tcPr>
          <w:p>
            <w:pPr>
              <w:rPr>
                <w:bCs/>
                <w:color w:val="000000"/>
                <w:szCs w:val="21"/>
              </w:rPr>
            </w:pPr>
            <w:r>
              <w:rPr>
                <w:rFonts w:hint="eastAsia" w:hAnsiTheme="minorEastAsia" w:cstheme="minorEastAsia"/>
                <w:sz w:val="24"/>
                <w:szCs w:val="24"/>
              </w:rPr>
              <w:t>处理器1：</w:t>
            </w:r>
            <w:r>
              <w:rPr>
                <w:rFonts w:hint="eastAsia"/>
                <w:sz w:val="24"/>
                <w:szCs w:val="24"/>
              </w:rPr>
              <w:t>ARM Cortex A17 四核@Max.1.4Hz视频处理器</w:t>
            </w:r>
          </w:p>
        </w:tc>
        <w:tc>
          <w:tcPr>
            <w:tcW w:w="501" w:type="pct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118" w:type="pct"/>
            <w:vAlign w:val="center"/>
          </w:tcPr>
          <w:p>
            <w:pPr>
              <w:rPr>
                <w:bCs/>
                <w:color w:val="000000"/>
                <w:szCs w:val="21"/>
              </w:rPr>
            </w:pPr>
            <w:r>
              <w:rPr>
                <w:rFonts w:hint="eastAsia" w:hAnsiTheme="minorEastAsia" w:cstheme="minorEastAsia"/>
                <w:sz w:val="24"/>
                <w:szCs w:val="24"/>
              </w:rPr>
              <w:t>处理器2：</w:t>
            </w:r>
            <w:r>
              <w:rPr>
                <w:rFonts w:hint="eastAsia"/>
                <w:sz w:val="24"/>
                <w:szCs w:val="24"/>
              </w:rPr>
              <w:t xml:space="preserve">ARM Cortex A7 </w:t>
            </w:r>
            <w:r>
              <w:fldChar w:fldCharType="begin"/>
            </w:r>
            <w:r>
              <w:instrText xml:space="preserve"> HYPERLINK "mailto:单核@Max.900MHz视频处理器" </w:instrText>
            </w:r>
            <w:r>
              <w:fldChar w:fldCharType="separate"/>
            </w:r>
            <w:r>
              <w:rPr>
                <w:rStyle w:val="8"/>
                <w:rFonts w:hint="eastAsia"/>
                <w:sz w:val="24"/>
                <w:szCs w:val="24"/>
              </w:rPr>
              <w:t>单核@Max.900MHz视频处理器</w:t>
            </w:r>
            <w:r>
              <w:rPr>
                <w:rStyle w:val="8"/>
                <w:rFonts w:hint="eastAsia"/>
                <w:sz w:val="24"/>
                <w:szCs w:val="24"/>
              </w:rPr>
              <w:fldChar w:fldCharType="end"/>
            </w:r>
          </w:p>
        </w:tc>
        <w:tc>
          <w:tcPr>
            <w:tcW w:w="501" w:type="pct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118" w:type="pct"/>
            <w:vAlign w:val="center"/>
          </w:tcPr>
          <w:p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自主研发的测量系统</w:t>
            </w:r>
          </w:p>
        </w:tc>
        <w:tc>
          <w:tcPr>
            <w:tcW w:w="501" w:type="pct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118" w:type="pct"/>
            <w:vAlign w:val="center"/>
          </w:tcPr>
          <w:p>
            <w:pPr>
              <w:rPr>
                <w:bCs/>
                <w:color w:val="000000"/>
                <w:szCs w:val="21"/>
              </w:rPr>
            </w:pPr>
            <w:r>
              <w:rPr>
                <w:rFonts w:hint="eastAsia" w:hAnsiTheme="minorEastAsia" w:cstheme="minorEastAsia"/>
                <w:sz w:val="24"/>
                <w:szCs w:val="24"/>
              </w:rPr>
              <w:t>内存：</w:t>
            </w:r>
            <w:r>
              <w:rPr>
                <w:rFonts w:hint="eastAsia"/>
                <w:sz w:val="24"/>
                <w:szCs w:val="24"/>
              </w:rPr>
              <w:t>可储存DXF文档</w:t>
            </w:r>
          </w:p>
        </w:tc>
        <w:tc>
          <w:tcPr>
            <w:tcW w:w="501" w:type="pct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4118" w:type="pct"/>
            <w:vAlign w:val="center"/>
          </w:tcPr>
          <w:p>
            <w:pPr>
              <w:rPr>
                <w:bCs/>
                <w:color w:val="000000"/>
                <w:szCs w:val="21"/>
              </w:rPr>
            </w:pPr>
            <w:r>
              <w:rPr>
                <w:rFonts w:hint="eastAsia" w:hAnsiTheme="minorEastAsia" w:cstheme="minorEastAsia"/>
                <w:sz w:val="24"/>
                <w:szCs w:val="24"/>
              </w:rPr>
              <w:t>储存方式：</w:t>
            </w:r>
            <w:r>
              <w:rPr>
                <w:rFonts w:hint="eastAsia"/>
                <w:sz w:val="24"/>
                <w:szCs w:val="24"/>
              </w:rPr>
              <w:t>外接U盘（可支持FAT32和NTFS文件系统）</w:t>
            </w:r>
          </w:p>
        </w:tc>
        <w:tc>
          <w:tcPr>
            <w:tcW w:w="501" w:type="pct"/>
          </w:tcPr>
          <w:p>
            <w:pPr>
              <w:pStyle w:val="9"/>
              <w:ind w:firstLine="0" w:firstLineChars="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4118" w:type="pct"/>
            <w:vAlign w:val="center"/>
          </w:tcPr>
          <w:p>
            <w:pPr>
              <w:rPr>
                <w:bCs/>
                <w:color w:val="000000"/>
                <w:szCs w:val="21"/>
              </w:rPr>
            </w:pPr>
            <w:r>
              <w:rPr>
                <w:rFonts w:hint="eastAsia" w:hAnsiTheme="minorEastAsia" w:cstheme="minorEastAsia"/>
                <w:sz w:val="24"/>
                <w:szCs w:val="24"/>
              </w:rPr>
              <w:t>触发方式：</w:t>
            </w:r>
            <w:r>
              <w:rPr>
                <w:rFonts w:hint="eastAsia"/>
                <w:sz w:val="24"/>
                <w:szCs w:val="24"/>
              </w:rPr>
              <w:t>软件触发/外部触发（高级）</w:t>
            </w:r>
          </w:p>
        </w:tc>
        <w:tc>
          <w:tcPr>
            <w:tcW w:w="501" w:type="pct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4118" w:type="pct"/>
            <w:vAlign w:val="center"/>
          </w:tcPr>
          <w:p>
            <w:pPr>
              <w:rPr>
                <w:bCs/>
                <w:color w:val="000000"/>
                <w:szCs w:val="21"/>
              </w:rPr>
            </w:pPr>
            <w:r>
              <w:rPr>
                <w:rFonts w:hint="eastAsia" w:hAnsiTheme="minorEastAsia" w:cstheme="minorEastAsia"/>
                <w:sz w:val="24"/>
                <w:szCs w:val="24"/>
              </w:rPr>
              <w:t>外设接口：</w:t>
            </w:r>
            <w:r>
              <w:rPr>
                <w:rFonts w:hint="eastAsia"/>
                <w:sz w:val="24"/>
                <w:szCs w:val="24"/>
              </w:rPr>
              <w:t>USB3.0 USB2.0接口、千兆网配</w:t>
            </w:r>
          </w:p>
        </w:tc>
        <w:tc>
          <w:tcPr>
            <w:tcW w:w="501" w:type="pct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</w:p>
        </w:tc>
        <w:tc>
          <w:tcPr>
            <w:tcW w:w="4118" w:type="pct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配置要求</w:t>
            </w:r>
          </w:p>
        </w:tc>
        <w:tc>
          <w:tcPr>
            <w:tcW w:w="501" w:type="pct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118" w:type="pct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显微镜主机  </w:t>
            </w:r>
          </w:p>
        </w:tc>
        <w:tc>
          <w:tcPr>
            <w:tcW w:w="501" w:type="pct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118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相机</w:t>
            </w:r>
          </w:p>
        </w:tc>
        <w:tc>
          <w:tcPr>
            <w:tcW w:w="501" w:type="pct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</w:tcPr>
          <w:p>
            <w:pPr>
              <w:pStyle w:val="9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</w:t>
            </w:r>
          </w:p>
        </w:tc>
        <w:tc>
          <w:tcPr>
            <w:tcW w:w="4118" w:type="pct"/>
          </w:tcPr>
          <w:p>
            <w:pPr>
              <w:pStyle w:val="9"/>
              <w:ind w:firstLine="0" w:firstLineChars="0"/>
              <w:jc w:val="both"/>
              <w:rPr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整机</w:t>
            </w:r>
            <w:r>
              <w:rPr>
                <w:rFonts w:ascii="宋体" w:hAnsi="宋体"/>
                <w:szCs w:val="21"/>
              </w:rPr>
              <w:t>保修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501" w:type="pct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</w:tr>
    </w:tbl>
    <w:p>
      <w:pPr>
        <w:rPr>
          <w:rFonts w:ascii="宋体" w:hAnsi="宋体" w:eastAsia="宋体" w:cs="宋体"/>
          <w:b/>
          <w:bCs/>
          <w:color w:val="000000"/>
          <w:sz w:val="28"/>
          <w:szCs w:val="28"/>
          <w:u w:color="000000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u w:color="000000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u w:color="000000"/>
        </w:rPr>
        <w:t>商务需求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供应商：</w:t>
      </w:r>
    </w:p>
    <w:p>
      <w:pPr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具有独立承担民事责任的能力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参加政府采购活动前3年内，在经营活动中没有重大违法记录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供应商有效期内营业执照经营范围</w:t>
      </w:r>
      <w:r>
        <w:rPr>
          <w:rFonts w:hint="eastAsia"/>
          <w:sz w:val="21"/>
          <w:szCs w:val="21"/>
          <w:lang w:eastAsia="zh-CN"/>
        </w:rPr>
        <w:t>应包含提供化学试剂的内容</w:t>
      </w:r>
      <w:r>
        <w:rPr>
          <w:rFonts w:hint="eastAsia"/>
          <w:sz w:val="21"/>
          <w:szCs w:val="21"/>
        </w:rPr>
        <w:t>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供应商须具备具有经营许可证</w:t>
      </w:r>
      <w:r>
        <w:rPr>
          <w:rFonts w:hint="eastAsia"/>
          <w:sz w:val="21"/>
          <w:szCs w:val="21"/>
          <w:lang w:eastAsia="zh-CN"/>
        </w:rPr>
        <w:t>，授权书，产品注册证等相关证件</w:t>
      </w:r>
      <w:r>
        <w:rPr>
          <w:rFonts w:hint="eastAsia"/>
          <w:sz w:val="21"/>
          <w:szCs w:val="21"/>
        </w:rPr>
        <w:t>。</w:t>
      </w: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5、该交易于政采云平台上进行。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四</w:t>
      </w:r>
      <w:r>
        <w:rPr>
          <w:rFonts w:hint="eastAsia"/>
          <w:sz w:val="21"/>
          <w:szCs w:val="21"/>
        </w:rPr>
        <w:t>、报价文件：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</w:t>
      </w:r>
      <w:r>
        <w:rPr>
          <w:rFonts w:hint="eastAsia"/>
          <w:sz w:val="21"/>
          <w:szCs w:val="21"/>
          <w:lang w:val="en-US" w:eastAsia="zh-CN"/>
        </w:rPr>
        <w:t>1、</w:t>
      </w:r>
      <w:r>
        <w:rPr>
          <w:rFonts w:hint="eastAsia"/>
          <w:sz w:val="21"/>
          <w:szCs w:val="21"/>
        </w:rPr>
        <w:t>报价须带文件资料:①营业执照、②法人身份证等相关复印件、③业务员参加的须提供授权委托书和业务员身份证复印件、④</w:t>
      </w:r>
      <w:r>
        <w:rPr>
          <w:rFonts w:hint="eastAsia"/>
          <w:sz w:val="21"/>
          <w:szCs w:val="21"/>
          <w:lang w:eastAsia="zh-CN"/>
        </w:rPr>
        <w:t>报价单</w:t>
      </w:r>
      <w:r>
        <w:rPr>
          <w:rFonts w:hint="eastAsia"/>
          <w:sz w:val="21"/>
          <w:szCs w:val="21"/>
        </w:rPr>
        <w:t>。以上资料必须齐全并加盖单位公章，否则该报价文件作无效处理。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2、</w:t>
      </w:r>
      <w:r>
        <w:rPr>
          <w:rFonts w:hint="eastAsia"/>
          <w:sz w:val="21"/>
          <w:szCs w:val="21"/>
        </w:rPr>
        <w:t>报价文件递交截止时间：</w:t>
      </w:r>
      <w:r>
        <w:rPr>
          <w:rFonts w:hint="eastAsia"/>
          <w:sz w:val="21"/>
          <w:szCs w:val="21"/>
          <w:lang w:val="en-US" w:eastAsia="zh-CN"/>
        </w:rPr>
        <w:t>2024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lang w:val="en-US" w:eastAsia="zh-CN"/>
        </w:rPr>
        <w:t>4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>3</w:t>
      </w:r>
      <w:r>
        <w:rPr>
          <w:rFonts w:hint="eastAsia"/>
          <w:sz w:val="21"/>
          <w:szCs w:val="21"/>
        </w:rPr>
        <w:t>日北京时间</w:t>
      </w:r>
      <w:r>
        <w:rPr>
          <w:rFonts w:hint="eastAsia"/>
          <w:sz w:val="21"/>
          <w:szCs w:val="21"/>
          <w:lang w:val="en-US" w:eastAsia="zh-CN"/>
        </w:rPr>
        <w:t>16</w:t>
      </w:r>
      <w:r>
        <w:rPr>
          <w:rFonts w:hint="eastAsia"/>
          <w:sz w:val="21"/>
          <w:szCs w:val="21"/>
        </w:rPr>
        <w:t>时，在截止时间后送达的响应文件为无效文件，拒绝接收。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3、</w:t>
      </w:r>
      <w:r>
        <w:rPr>
          <w:rFonts w:hint="eastAsia"/>
          <w:sz w:val="21"/>
          <w:szCs w:val="21"/>
        </w:rPr>
        <w:t>报价文件报送方式：密封后送达绍兴市妇幼保健院</w:t>
      </w:r>
      <w:r>
        <w:rPr>
          <w:rFonts w:hint="eastAsia"/>
          <w:sz w:val="21"/>
          <w:szCs w:val="21"/>
          <w:lang w:eastAsia="zh-CN"/>
        </w:rPr>
        <w:t>设备</w:t>
      </w:r>
      <w:r>
        <w:rPr>
          <w:rFonts w:hint="eastAsia"/>
          <w:sz w:val="21"/>
          <w:szCs w:val="21"/>
        </w:rPr>
        <w:t>科，密封袋表面必须标注此项目名称。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五</w:t>
      </w:r>
      <w:r>
        <w:rPr>
          <w:rFonts w:hint="eastAsia"/>
          <w:sz w:val="21"/>
          <w:szCs w:val="21"/>
        </w:rPr>
        <w:t>、评定成交标准：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根据质量和服务均能满足询价文件实质性响应要求</w:t>
      </w:r>
      <w:r>
        <w:rPr>
          <w:rFonts w:hint="eastAsia"/>
          <w:color w:val="FF0000"/>
          <w:sz w:val="21"/>
          <w:szCs w:val="21"/>
          <w:lang w:val="en-US" w:eastAsia="zh-CN"/>
        </w:rPr>
        <w:t>(本内容均为实质性条款，不允许出现负偏离，否则作无效投标处理）</w:t>
      </w:r>
      <w:r>
        <w:rPr>
          <w:rFonts w:hint="eastAsia"/>
          <w:sz w:val="21"/>
          <w:szCs w:val="21"/>
        </w:rPr>
        <w:t>且报价最低的原则确定成交供应商</w:t>
      </w:r>
      <w:r>
        <w:rPr>
          <w:rFonts w:hint="eastAsia"/>
          <w:sz w:val="21"/>
          <w:szCs w:val="21"/>
          <w:lang w:eastAsia="zh-CN"/>
        </w:rPr>
        <w:t>（若出现最低价相同的，则以抽签决定成交供应商）</w:t>
      </w:r>
      <w:r>
        <w:rPr>
          <w:rFonts w:hint="eastAsia"/>
          <w:sz w:val="21"/>
          <w:szCs w:val="21"/>
        </w:rPr>
        <w:t>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六</w:t>
      </w:r>
      <w:r>
        <w:rPr>
          <w:rFonts w:hint="eastAsia"/>
          <w:sz w:val="21"/>
          <w:szCs w:val="21"/>
        </w:rPr>
        <w:t>、联系方式：</w:t>
      </w:r>
    </w:p>
    <w:p>
      <w:pPr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联系人：</w:t>
      </w:r>
      <w:r>
        <w:rPr>
          <w:rFonts w:hint="eastAsia"/>
          <w:sz w:val="21"/>
          <w:szCs w:val="21"/>
          <w:lang w:eastAsia="zh-CN"/>
        </w:rPr>
        <w:t>张老师</w:t>
      </w:r>
      <w:r>
        <w:rPr>
          <w:rFonts w:hint="eastAsia"/>
          <w:sz w:val="21"/>
          <w:szCs w:val="21"/>
        </w:rPr>
        <w:t xml:space="preserve">                         联系电话：</w:t>
      </w:r>
      <w:r>
        <w:rPr>
          <w:rFonts w:hint="eastAsia"/>
          <w:sz w:val="21"/>
          <w:szCs w:val="21"/>
          <w:lang w:val="en-US" w:eastAsia="zh-CN"/>
        </w:rPr>
        <w:t>18358505681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联系地址：</w:t>
      </w:r>
      <w:r>
        <w:rPr>
          <w:rFonts w:hint="eastAsia"/>
          <w:sz w:val="21"/>
          <w:szCs w:val="21"/>
          <w:lang w:eastAsia="zh-CN"/>
        </w:rPr>
        <w:t>浙江省绍兴市越城区凤林东路</w:t>
      </w:r>
      <w:r>
        <w:rPr>
          <w:rFonts w:hint="eastAsia"/>
          <w:sz w:val="21"/>
          <w:szCs w:val="21"/>
          <w:lang w:val="en-US" w:eastAsia="zh-CN"/>
        </w:rPr>
        <w:t>222号绍兴市妇幼保健院</w:t>
      </w:r>
    </w:p>
    <w:p>
      <w:pPr>
        <w:rPr>
          <w:rFonts w:hint="default"/>
          <w:sz w:val="21"/>
          <w:szCs w:val="21"/>
          <w:lang w:val="en-US" w:eastAsia="zh-CN"/>
        </w:rPr>
      </w:pPr>
    </w:p>
    <w:p>
      <w:pPr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                                                                  绍兴市妇幼保健院</w:t>
      </w:r>
    </w:p>
    <w:p>
      <w:pPr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2024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lang w:val="en-US" w:eastAsia="zh-CN"/>
        </w:rPr>
        <w:t>3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>29</w:t>
      </w:r>
      <w:r>
        <w:rPr>
          <w:rFonts w:hint="eastAsia"/>
          <w:sz w:val="21"/>
          <w:szCs w:val="21"/>
        </w:rPr>
        <w:t>日</w:t>
      </w:r>
    </w:p>
    <w:p>
      <w:pPr>
        <w:numPr>
          <w:ilvl w:val="0"/>
          <w:numId w:val="0"/>
        </w:numPr>
        <w:spacing w:line="400" w:lineRule="exact"/>
        <w:jc w:val="left"/>
        <w:rPr>
          <w:lang w:val="zh-TW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F00BF4"/>
    <w:multiLevelType w:val="singleLevel"/>
    <w:tmpl w:val="D5F00B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CB017FC"/>
    <w:multiLevelType w:val="multilevel"/>
    <w:tmpl w:val="5CB017FC"/>
    <w:lvl w:ilvl="0" w:tentative="0">
      <w:start w:val="1"/>
      <w:numFmt w:val="decimal"/>
      <w:pStyle w:val="2"/>
      <w:suff w:val="space"/>
      <w:lvlText w:val="第 %1 章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 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〔%3〕、"/>
      <w:lvlJc w:val="left"/>
      <w:pPr>
        <w:tabs>
          <w:tab w:val="left" w:pos="2651"/>
        </w:tabs>
        <w:ind w:left="1418" w:hanging="567"/>
      </w:pPr>
      <w:rPr>
        <w:rFonts w:hint="eastAsia"/>
      </w:rPr>
    </w:lvl>
    <w:lvl w:ilvl="3" w:tentative="0">
      <w:start w:val="1"/>
      <w:numFmt w:val="none"/>
      <w:lvlText w:val="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lOGFkOThkOTU3YzA2YzYyMTc5NTYxMWJmNzMwMTQifQ=="/>
  </w:docVars>
  <w:rsids>
    <w:rsidRoot w:val="34405F5D"/>
    <w:rsid w:val="0005051F"/>
    <w:rsid w:val="000A14BD"/>
    <w:rsid w:val="005B3DBF"/>
    <w:rsid w:val="008A15CA"/>
    <w:rsid w:val="00F20C7C"/>
    <w:rsid w:val="04B96FAE"/>
    <w:rsid w:val="05D435B9"/>
    <w:rsid w:val="07896A1D"/>
    <w:rsid w:val="0A7B108A"/>
    <w:rsid w:val="1C57280B"/>
    <w:rsid w:val="250A26FB"/>
    <w:rsid w:val="2A066005"/>
    <w:rsid w:val="34405F5D"/>
    <w:rsid w:val="47693BDE"/>
    <w:rsid w:val="4C6D7DF2"/>
    <w:rsid w:val="609F0E6B"/>
    <w:rsid w:val="6E4974AE"/>
    <w:rsid w:val="6F39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仿宋_GB2312"/>
      <w:b/>
      <w:kern w:val="44"/>
      <w:sz w:val="44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343</Words>
  <Characters>1959</Characters>
  <Lines>16</Lines>
  <Paragraphs>4</Paragraphs>
  <TotalTime>1</TotalTime>
  <ScaleCrop>false</ScaleCrop>
  <LinksUpToDate>false</LinksUpToDate>
  <CharactersWithSpaces>2298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2022-08-18T01:22:00Z</dcterms:created>
  <dc:creator>胖头鱼</dc:creator>
  <cp:lastModifiedBy>胖头鱼</cp:lastModifiedBy>
  <cp:lastPrinted>2024-03-25T08:24:00Z</cp:lastPrinted>
  <dcterms:modified xsi:type="dcterms:W3CDTF">2024-03-29T07:18:41Z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E528B2B8AD43424889D37863A157CB86_13</vt:lpwstr>
  </property>
</Properties>
</file>