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155"/>
        </w:tabs>
        <w:spacing w:line="360" w:lineRule="auto"/>
        <w:ind w:right="-512" w:rightChars="-244"/>
        <w:jc w:val="center"/>
        <w:rPr>
          <w:rFonts w:eastAsia="华文仿宋"/>
          <w:b/>
          <w:sz w:val="28"/>
          <w:szCs w:val="28"/>
        </w:rPr>
      </w:pPr>
    </w:p>
    <w:p>
      <w:pPr>
        <w:tabs>
          <w:tab w:val="left" w:pos="1155"/>
        </w:tabs>
        <w:spacing w:line="360" w:lineRule="auto"/>
        <w:ind w:right="-512" w:rightChars="-244"/>
        <w:jc w:val="center"/>
        <w:rPr>
          <w:rFonts w:hint="eastAsia" w:eastAsia="华文仿宋"/>
          <w:b/>
          <w:sz w:val="28"/>
          <w:szCs w:val="28"/>
        </w:rPr>
      </w:pPr>
      <w:r>
        <w:rPr>
          <w:rFonts w:ascii="宋体" w:hAnsi="宋体"/>
          <w:b/>
          <w:kern w:val="0"/>
          <w:sz w:val="28"/>
          <w:szCs w:val="28"/>
        </w:rPr>
        <w:drawing>
          <wp:inline distT="0" distB="0" distL="114300" distR="114300">
            <wp:extent cx="1981200" cy="1981200"/>
            <wp:effectExtent l="0" t="0" r="0" b="0"/>
            <wp:docPr id="1" name="图片 9" descr="9854753908ef4200c7610643aedf9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9854753908ef4200c7610643aedf96d"/>
                    <pic:cNvPicPr>
                      <a:picLocks noChangeAspect="1"/>
                    </pic:cNvPicPr>
                  </pic:nvPicPr>
                  <pic:blipFill>
                    <a:blip r:embed="rId6"/>
                    <a:stretch>
                      <a:fillRect/>
                    </a:stretch>
                  </pic:blipFill>
                  <pic:spPr>
                    <a:xfrm>
                      <a:off x="0" y="0"/>
                      <a:ext cx="1981200" cy="1981200"/>
                    </a:xfrm>
                    <a:prstGeom prst="rect">
                      <a:avLst/>
                    </a:prstGeom>
                    <a:noFill/>
                    <a:ln>
                      <a:noFill/>
                    </a:ln>
                  </pic:spPr>
                </pic:pic>
              </a:graphicData>
            </a:graphic>
          </wp:inline>
        </w:drawing>
      </w:r>
    </w:p>
    <w:p>
      <w:pPr>
        <w:tabs>
          <w:tab w:val="left" w:pos="1155"/>
        </w:tabs>
        <w:spacing w:line="360" w:lineRule="auto"/>
        <w:ind w:right="-512" w:rightChars="-244"/>
        <w:jc w:val="center"/>
        <w:rPr>
          <w:rFonts w:hint="eastAsia" w:ascii="宋体" w:hAnsi="宋体" w:cs="宋体"/>
          <w:b/>
          <w:sz w:val="44"/>
          <w:szCs w:val="44"/>
        </w:rPr>
      </w:pPr>
    </w:p>
    <w:p>
      <w:pPr>
        <w:tabs>
          <w:tab w:val="left" w:pos="1155"/>
        </w:tabs>
        <w:spacing w:line="360" w:lineRule="auto"/>
        <w:ind w:right="-512" w:rightChars="-244"/>
        <w:jc w:val="center"/>
        <w:rPr>
          <w:rFonts w:hint="eastAsia" w:ascii="宋体" w:hAnsi="宋体" w:cs="宋体"/>
          <w:b/>
          <w:sz w:val="44"/>
          <w:szCs w:val="44"/>
        </w:rPr>
      </w:pPr>
      <w:r>
        <w:rPr>
          <w:rFonts w:hint="eastAsia" w:ascii="宋体" w:hAnsi="宋体" w:cs="宋体"/>
          <w:b/>
          <w:sz w:val="44"/>
          <w:szCs w:val="44"/>
        </w:rPr>
        <w:t>临床试验伦理审查申请指南</w:t>
      </w:r>
    </w:p>
    <w:p>
      <w:pPr>
        <w:tabs>
          <w:tab w:val="left" w:pos="1155"/>
        </w:tabs>
        <w:spacing w:line="360" w:lineRule="auto"/>
        <w:ind w:right="-512" w:rightChars="-244"/>
        <w:jc w:val="center"/>
        <w:rPr>
          <w:rFonts w:hint="eastAsia" w:ascii="宋体" w:hAnsi="宋体" w:cs="宋体"/>
          <w:b/>
          <w:sz w:val="28"/>
          <w:szCs w:val="28"/>
        </w:rPr>
      </w:pPr>
    </w:p>
    <w:p>
      <w:pPr>
        <w:tabs>
          <w:tab w:val="left" w:pos="1155"/>
        </w:tabs>
        <w:spacing w:line="360" w:lineRule="auto"/>
        <w:ind w:right="-512" w:rightChars="-244"/>
        <w:jc w:val="center"/>
        <w:rPr>
          <w:rFonts w:hint="eastAsia" w:ascii="宋体" w:hAnsi="宋体" w:cs="宋体"/>
          <w:b/>
          <w:sz w:val="28"/>
          <w:szCs w:val="28"/>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2409"/>
        <w:gridCol w:w="2092"/>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0" w:type="pct"/>
            <w:noWrap w:val="0"/>
            <w:vAlign w:val="center"/>
          </w:tcPr>
          <w:p>
            <w:pPr>
              <w:keepNext w:val="0"/>
              <w:keepLines w:val="0"/>
              <w:suppressLineNumbers w:val="0"/>
              <w:overflowPunct w:val="0"/>
              <w:spacing w:before="156" w:beforeLines="50" w:beforeAutospacing="0" w:after="0" w:afterAutospacing="0" w:line="480" w:lineRule="auto"/>
              <w:ind w:left="0" w:right="0"/>
              <w:jc w:val="center"/>
              <w:rPr>
                <w:rFonts w:hint="eastAsia" w:ascii="宋体" w:hAnsi="宋体" w:eastAsia="宋体" w:cs="宋体"/>
                <w:sz w:val="28"/>
                <w:szCs w:val="28"/>
              </w:rPr>
            </w:pPr>
            <w:r>
              <w:rPr>
                <w:rFonts w:hint="eastAsia" w:ascii="宋体" w:hAnsi="宋体" w:eastAsia="宋体" w:cs="宋体"/>
                <w:spacing w:val="30"/>
                <w:kern w:val="0"/>
                <w:sz w:val="28"/>
                <w:szCs w:val="28"/>
                <w:fitText w:val="960" w:id="1403178496"/>
              </w:rPr>
              <w:t>版本</w:t>
            </w:r>
            <w:r>
              <w:rPr>
                <w:rFonts w:hint="eastAsia" w:ascii="宋体" w:hAnsi="宋体" w:eastAsia="宋体" w:cs="宋体"/>
                <w:spacing w:val="0"/>
                <w:kern w:val="0"/>
                <w:sz w:val="28"/>
                <w:szCs w:val="28"/>
                <w:fitText w:val="960" w:id="1403178496"/>
              </w:rPr>
              <w:t>号</w:t>
            </w:r>
          </w:p>
        </w:tc>
        <w:tc>
          <w:tcPr>
            <w:tcW w:w="1338" w:type="pct"/>
            <w:noWrap w:val="0"/>
            <w:vAlign w:val="center"/>
          </w:tcPr>
          <w:p>
            <w:pPr>
              <w:keepNext w:val="0"/>
              <w:keepLines w:val="0"/>
              <w:suppressLineNumbers w:val="0"/>
              <w:overflowPunct w:val="0"/>
              <w:spacing w:before="156" w:beforeLines="50" w:beforeAutospacing="0" w:after="0" w:afterAutospacing="0" w:line="480" w:lineRule="auto"/>
              <w:ind w:left="0" w:right="0"/>
              <w:jc w:val="center"/>
              <w:rPr>
                <w:rFonts w:hint="eastAsia" w:ascii="宋体" w:hAnsi="宋体" w:eastAsia="宋体" w:cs="宋体"/>
                <w:sz w:val="28"/>
                <w:szCs w:val="28"/>
              </w:rPr>
            </w:pPr>
            <w:r>
              <w:rPr>
                <w:rFonts w:hint="eastAsia" w:ascii="宋体" w:hAnsi="宋体" w:eastAsia="宋体" w:cs="宋体"/>
                <w:sz w:val="28"/>
                <w:szCs w:val="28"/>
              </w:rPr>
              <w:t>第</w:t>
            </w:r>
            <w:r>
              <w:rPr>
                <w:rFonts w:hint="default" w:ascii="Times New Roman" w:hAnsi="Times New Roman" w:eastAsia="宋体" w:cs="Times New Roman"/>
                <w:color w:val="auto"/>
                <w:sz w:val="28"/>
                <w:szCs w:val="28"/>
              </w:rPr>
              <w:t>1</w:t>
            </w:r>
            <w:r>
              <w:rPr>
                <w:rFonts w:ascii="Times New Roman" w:hAnsi="Times New Roman" w:eastAsia="宋体" w:cs="Times New Roman"/>
                <w:color w:val="auto"/>
                <w:sz w:val="28"/>
                <w:szCs w:val="28"/>
              </w:rPr>
              <w:t>.</w:t>
            </w:r>
            <w:r>
              <w:rPr>
                <w:rFonts w:hint="eastAsia" w:cs="Times New Roman"/>
                <w:color w:val="auto"/>
                <w:sz w:val="28"/>
                <w:szCs w:val="28"/>
                <w:lang w:val="en-US" w:eastAsia="zh-CN"/>
              </w:rPr>
              <w:t>2</w:t>
            </w:r>
            <w:r>
              <w:rPr>
                <w:rFonts w:hint="eastAsia" w:ascii="宋体" w:hAnsi="宋体" w:eastAsia="宋体" w:cs="宋体"/>
                <w:sz w:val="28"/>
                <w:szCs w:val="28"/>
              </w:rPr>
              <w:t>版</w:t>
            </w:r>
          </w:p>
        </w:tc>
        <w:tc>
          <w:tcPr>
            <w:tcW w:w="1162" w:type="pct"/>
            <w:noWrap w:val="0"/>
            <w:vAlign w:val="center"/>
          </w:tcPr>
          <w:p>
            <w:pPr>
              <w:keepNext w:val="0"/>
              <w:keepLines w:val="0"/>
              <w:suppressLineNumbers w:val="0"/>
              <w:overflowPunct w:val="0"/>
              <w:spacing w:before="156" w:beforeLines="50" w:beforeAutospacing="0" w:after="0" w:afterAutospacing="0" w:line="480" w:lineRule="auto"/>
              <w:ind w:left="0" w:right="0"/>
              <w:jc w:val="center"/>
              <w:rPr>
                <w:rFonts w:hint="eastAsia" w:ascii="宋体" w:hAnsi="宋体" w:eastAsia="宋体" w:cs="宋体"/>
                <w:sz w:val="28"/>
                <w:szCs w:val="28"/>
              </w:rPr>
            </w:pPr>
            <w:r>
              <w:rPr>
                <w:rFonts w:hint="eastAsia" w:ascii="宋体" w:hAnsi="宋体" w:eastAsia="宋体" w:cs="宋体"/>
                <w:spacing w:val="200"/>
                <w:kern w:val="0"/>
                <w:sz w:val="28"/>
                <w:szCs w:val="28"/>
                <w:fitText w:val="960" w:id="1403178497"/>
              </w:rPr>
              <w:t>页</w:t>
            </w:r>
            <w:r>
              <w:rPr>
                <w:rFonts w:hint="eastAsia" w:ascii="宋体" w:hAnsi="宋体" w:eastAsia="宋体" w:cs="宋体"/>
                <w:spacing w:val="0"/>
                <w:kern w:val="0"/>
                <w:sz w:val="28"/>
                <w:szCs w:val="28"/>
                <w:fitText w:val="960" w:id="1403178497"/>
              </w:rPr>
              <w:t>数</w:t>
            </w:r>
          </w:p>
        </w:tc>
        <w:tc>
          <w:tcPr>
            <w:tcW w:w="1340" w:type="pct"/>
            <w:noWrap w:val="0"/>
            <w:vAlign w:val="center"/>
          </w:tcPr>
          <w:p>
            <w:pPr>
              <w:keepNext w:val="0"/>
              <w:keepLines w:val="0"/>
              <w:suppressLineNumbers w:val="0"/>
              <w:overflowPunct w:val="0"/>
              <w:spacing w:before="156" w:beforeLines="50" w:beforeAutospacing="0" w:after="0" w:afterAutospacing="0" w:line="480" w:lineRule="auto"/>
              <w:ind w:left="0" w:right="0"/>
              <w:jc w:val="center"/>
              <w:rPr>
                <w:rFonts w:hint="eastAsia" w:ascii="宋体" w:hAnsi="宋体" w:eastAsia="宋体" w:cs="宋体"/>
                <w:sz w:val="28"/>
                <w:szCs w:val="28"/>
              </w:rPr>
            </w:pPr>
            <w:r>
              <w:rPr>
                <w:rFonts w:hint="eastAsia" w:ascii="宋体" w:hAnsi="宋体" w:eastAsia="宋体" w:cs="宋体"/>
                <w:sz w:val="28"/>
                <w:szCs w:val="28"/>
              </w:rPr>
              <w:t>共</w:t>
            </w:r>
            <w:r>
              <w:rPr>
                <w:rFonts w:hint="eastAsia" w:cs="Times New Roman"/>
                <w:sz w:val="28"/>
                <w:szCs w:val="28"/>
                <w:lang w:val="en-US" w:eastAsia="zh-CN"/>
              </w:rPr>
              <w:t>6</w:t>
            </w:r>
            <w:r>
              <w:rPr>
                <w:rFonts w:hint="eastAsia" w:ascii="宋体" w:hAnsi="宋体" w:eastAsia="宋体" w:cs="宋体"/>
                <w:sz w:val="28"/>
                <w:szCs w:val="28"/>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0" w:type="pct"/>
            <w:noWrap w:val="0"/>
            <w:vAlign w:val="center"/>
          </w:tcPr>
          <w:p>
            <w:pPr>
              <w:keepNext w:val="0"/>
              <w:keepLines w:val="0"/>
              <w:suppressLineNumbers w:val="0"/>
              <w:overflowPunct w:val="0"/>
              <w:spacing w:before="156" w:beforeLines="50" w:beforeAutospacing="0" w:after="0" w:afterAutospacing="0" w:line="480" w:lineRule="auto"/>
              <w:ind w:left="0" w:right="0"/>
              <w:jc w:val="center"/>
              <w:rPr>
                <w:rFonts w:hint="eastAsia" w:ascii="宋体" w:hAnsi="宋体" w:eastAsia="宋体" w:cs="宋体"/>
                <w:spacing w:val="60"/>
                <w:kern w:val="0"/>
                <w:sz w:val="28"/>
                <w:szCs w:val="28"/>
              </w:rPr>
            </w:pPr>
            <w:r>
              <w:rPr>
                <w:rFonts w:hint="eastAsia" w:ascii="宋体" w:hAnsi="宋体" w:eastAsia="宋体" w:cs="宋体"/>
                <w:spacing w:val="30"/>
                <w:kern w:val="0"/>
                <w:sz w:val="28"/>
                <w:szCs w:val="28"/>
                <w:fitText w:val="960" w:id="1403178498"/>
              </w:rPr>
              <w:t>起草</w:t>
            </w:r>
            <w:r>
              <w:rPr>
                <w:rFonts w:hint="eastAsia" w:ascii="宋体" w:hAnsi="宋体" w:eastAsia="宋体" w:cs="宋体"/>
                <w:spacing w:val="0"/>
                <w:kern w:val="0"/>
                <w:sz w:val="28"/>
                <w:szCs w:val="28"/>
                <w:fitText w:val="960" w:id="1403178498"/>
              </w:rPr>
              <w:t>人</w:t>
            </w:r>
          </w:p>
        </w:tc>
        <w:tc>
          <w:tcPr>
            <w:tcW w:w="2409" w:type="dxa"/>
            <w:noWrap w:val="0"/>
            <w:vAlign w:val="center"/>
          </w:tcPr>
          <w:p>
            <w:pPr>
              <w:keepNext w:val="0"/>
              <w:keepLines w:val="0"/>
              <w:suppressLineNumbers w:val="0"/>
              <w:overflowPunct w:val="0"/>
              <w:spacing w:before="156" w:beforeLines="50" w:beforeAutospacing="0" w:after="0" w:afterAutospacing="0" w:line="240" w:lineRule="auto"/>
              <w:ind w:left="0" w:right="0"/>
              <w:jc w:val="center"/>
              <w:rPr>
                <w:rFonts w:hint="eastAsia" w:ascii="宋体" w:hAnsi="宋体" w:eastAsia="宋体" w:cs="宋体"/>
                <w:sz w:val="28"/>
                <w:szCs w:val="28"/>
              </w:rPr>
            </w:pPr>
          </w:p>
        </w:tc>
        <w:tc>
          <w:tcPr>
            <w:tcW w:w="1162" w:type="pct"/>
            <w:noWrap w:val="0"/>
            <w:vAlign w:val="center"/>
          </w:tcPr>
          <w:p>
            <w:pPr>
              <w:keepNext w:val="0"/>
              <w:keepLines w:val="0"/>
              <w:suppressLineNumbers w:val="0"/>
              <w:overflowPunct w:val="0"/>
              <w:spacing w:before="156" w:beforeLines="50" w:beforeAutospacing="0" w:after="0" w:afterAutospacing="0" w:line="480" w:lineRule="auto"/>
              <w:ind w:left="0" w:right="0"/>
              <w:jc w:val="center"/>
              <w:rPr>
                <w:rFonts w:hint="eastAsia" w:ascii="宋体" w:hAnsi="宋体" w:eastAsia="宋体" w:cs="宋体"/>
                <w:sz w:val="28"/>
                <w:szCs w:val="28"/>
              </w:rPr>
            </w:pPr>
            <w:r>
              <w:rPr>
                <w:rFonts w:hint="eastAsia" w:ascii="宋体" w:hAnsi="宋体" w:eastAsia="宋体" w:cs="宋体"/>
                <w:sz w:val="28"/>
                <w:szCs w:val="28"/>
              </w:rPr>
              <w:t>起草日期</w:t>
            </w:r>
          </w:p>
        </w:tc>
        <w:tc>
          <w:tcPr>
            <w:tcW w:w="2413" w:type="dxa"/>
            <w:noWrap w:val="0"/>
            <w:vAlign w:val="center"/>
          </w:tcPr>
          <w:p>
            <w:pPr>
              <w:keepNext w:val="0"/>
              <w:keepLines w:val="0"/>
              <w:suppressLineNumbers w:val="0"/>
              <w:overflowPunct w:val="0"/>
              <w:spacing w:before="156" w:beforeLines="50" w:beforeAutospacing="0" w:after="0" w:afterAutospacing="0" w:line="240" w:lineRule="auto"/>
              <w:ind w:left="0" w:right="0"/>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0" w:type="pct"/>
            <w:noWrap w:val="0"/>
            <w:vAlign w:val="center"/>
          </w:tcPr>
          <w:p>
            <w:pPr>
              <w:keepNext w:val="0"/>
              <w:keepLines w:val="0"/>
              <w:suppressLineNumbers w:val="0"/>
              <w:overflowPunct w:val="0"/>
              <w:spacing w:before="156" w:beforeLines="50" w:beforeAutospacing="0" w:after="0" w:afterAutospacing="0" w:line="480" w:lineRule="auto"/>
              <w:ind w:left="0" w:right="0"/>
              <w:jc w:val="center"/>
              <w:rPr>
                <w:rFonts w:hint="eastAsia" w:ascii="宋体" w:hAnsi="宋体" w:eastAsia="宋体" w:cs="宋体"/>
                <w:spacing w:val="60"/>
                <w:kern w:val="0"/>
                <w:sz w:val="28"/>
                <w:szCs w:val="28"/>
              </w:rPr>
            </w:pPr>
            <w:r>
              <w:rPr>
                <w:rFonts w:hint="eastAsia" w:ascii="宋体" w:hAnsi="宋体" w:eastAsia="宋体" w:cs="宋体"/>
                <w:spacing w:val="30"/>
                <w:kern w:val="0"/>
                <w:sz w:val="28"/>
                <w:szCs w:val="28"/>
                <w:fitText w:val="960" w:id="1403178499"/>
              </w:rPr>
              <w:t>审核</w:t>
            </w:r>
            <w:r>
              <w:rPr>
                <w:rFonts w:hint="eastAsia" w:ascii="宋体" w:hAnsi="宋体" w:eastAsia="宋体" w:cs="宋体"/>
                <w:spacing w:val="0"/>
                <w:kern w:val="0"/>
                <w:sz w:val="28"/>
                <w:szCs w:val="28"/>
                <w:fitText w:val="960" w:id="1403178499"/>
              </w:rPr>
              <w:t>人</w:t>
            </w:r>
          </w:p>
        </w:tc>
        <w:tc>
          <w:tcPr>
            <w:tcW w:w="2409" w:type="dxa"/>
            <w:noWrap w:val="0"/>
            <w:vAlign w:val="center"/>
          </w:tcPr>
          <w:p>
            <w:pPr>
              <w:keepNext w:val="0"/>
              <w:keepLines w:val="0"/>
              <w:suppressLineNumbers w:val="0"/>
              <w:overflowPunct w:val="0"/>
              <w:spacing w:before="156" w:beforeLines="50" w:beforeAutospacing="0" w:after="0" w:afterAutospacing="0" w:line="240" w:lineRule="auto"/>
              <w:ind w:left="0" w:right="0"/>
              <w:jc w:val="center"/>
              <w:rPr>
                <w:rFonts w:hint="eastAsia" w:ascii="宋体" w:hAnsi="宋体" w:eastAsia="宋体" w:cs="宋体"/>
                <w:sz w:val="28"/>
                <w:szCs w:val="28"/>
              </w:rPr>
            </w:pPr>
          </w:p>
        </w:tc>
        <w:tc>
          <w:tcPr>
            <w:tcW w:w="1162" w:type="pct"/>
            <w:noWrap w:val="0"/>
            <w:vAlign w:val="center"/>
          </w:tcPr>
          <w:p>
            <w:pPr>
              <w:keepNext w:val="0"/>
              <w:keepLines w:val="0"/>
              <w:suppressLineNumbers w:val="0"/>
              <w:overflowPunct w:val="0"/>
              <w:spacing w:before="156" w:beforeLines="50" w:beforeAutospacing="0" w:after="0" w:afterAutospacing="0" w:line="480" w:lineRule="auto"/>
              <w:ind w:left="0" w:right="0"/>
              <w:jc w:val="center"/>
              <w:rPr>
                <w:rFonts w:hint="eastAsia" w:ascii="宋体" w:hAnsi="宋体" w:eastAsia="宋体" w:cs="宋体"/>
                <w:sz w:val="28"/>
                <w:szCs w:val="28"/>
              </w:rPr>
            </w:pPr>
            <w:r>
              <w:rPr>
                <w:rFonts w:hint="eastAsia" w:ascii="宋体" w:hAnsi="宋体" w:eastAsia="宋体" w:cs="宋体"/>
                <w:sz w:val="28"/>
                <w:szCs w:val="28"/>
              </w:rPr>
              <w:t>审核日期</w:t>
            </w:r>
          </w:p>
        </w:tc>
        <w:tc>
          <w:tcPr>
            <w:tcW w:w="2413" w:type="dxa"/>
            <w:noWrap w:val="0"/>
            <w:vAlign w:val="center"/>
          </w:tcPr>
          <w:p>
            <w:pPr>
              <w:keepNext w:val="0"/>
              <w:keepLines w:val="0"/>
              <w:suppressLineNumbers w:val="0"/>
              <w:overflowPunct w:val="0"/>
              <w:spacing w:before="156" w:beforeLines="50" w:beforeAutospacing="0" w:after="0" w:afterAutospacing="0" w:line="240" w:lineRule="auto"/>
              <w:ind w:left="0" w:right="0"/>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0" w:type="pct"/>
            <w:noWrap w:val="0"/>
            <w:vAlign w:val="center"/>
          </w:tcPr>
          <w:p>
            <w:pPr>
              <w:keepNext w:val="0"/>
              <w:keepLines w:val="0"/>
              <w:suppressLineNumbers w:val="0"/>
              <w:overflowPunct w:val="0"/>
              <w:spacing w:before="156" w:beforeLines="50" w:beforeAutospacing="0" w:after="0" w:afterAutospacing="0" w:line="480" w:lineRule="auto"/>
              <w:ind w:left="0" w:right="0"/>
              <w:jc w:val="center"/>
              <w:rPr>
                <w:rFonts w:hint="eastAsia" w:ascii="宋体" w:hAnsi="宋体" w:eastAsia="宋体" w:cs="宋体"/>
                <w:spacing w:val="60"/>
                <w:kern w:val="0"/>
                <w:sz w:val="28"/>
                <w:szCs w:val="28"/>
              </w:rPr>
            </w:pPr>
            <w:r>
              <w:rPr>
                <w:rFonts w:hint="eastAsia" w:ascii="宋体" w:hAnsi="宋体" w:eastAsia="宋体" w:cs="宋体"/>
                <w:spacing w:val="30"/>
                <w:kern w:val="0"/>
                <w:sz w:val="28"/>
                <w:szCs w:val="28"/>
                <w:fitText w:val="960" w:id="1403178500"/>
              </w:rPr>
              <w:t>批准</w:t>
            </w:r>
            <w:r>
              <w:rPr>
                <w:rFonts w:hint="eastAsia" w:ascii="宋体" w:hAnsi="宋体" w:eastAsia="宋体" w:cs="宋体"/>
                <w:spacing w:val="0"/>
                <w:kern w:val="0"/>
                <w:sz w:val="28"/>
                <w:szCs w:val="28"/>
                <w:fitText w:val="960" w:id="1403178500"/>
              </w:rPr>
              <w:t>人</w:t>
            </w:r>
          </w:p>
        </w:tc>
        <w:tc>
          <w:tcPr>
            <w:tcW w:w="2409" w:type="dxa"/>
            <w:noWrap w:val="0"/>
            <w:vAlign w:val="center"/>
          </w:tcPr>
          <w:p>
            <w:pPr>
              <w:keepNext w:val="0"/>
              <w:keepLines w:val="0"/>
              <w:suppressLineNumbers w:val="0"/>
              <w:overflowPunct w:val="0"/>
              <w:spacing w:before="156" w:beforeLines="50" w:beforeAutospacing="0" w:after="0" w:afterAutospacing="0" w:line="240" w:lineRule="auto"/>
              <w:ind w:left="0" w:right="0"/>
              <w:jc w:val="center"/>
              <w:rPr>
                <w:rFonts w:hint="eastAsia" w:ascii="宋体" w:hAnsi="宋体" w:eastAsia="宋体" w:cs="宋体"/>
                <w:sz w:val="28"/>
                <w:szCs w:val="28"/>
              </w:rPr>
            </w:pPr>
          </w:p>
        </w:tc>
        <w:tc>
          <w:tcPr>
            <w:tcW w:w="1162" w:type="pct"/>
            <w:noWrap w:val="0"/>
            <w:vAlign w:val="center"/>
          </w:tcPr>
          <w:p>
            <w:pPr>
              <w:keepNext w:val="0"/>
              <w:keepLines w:val="0"/>
              <w:suppressLineNumbers w:val="0"/>
              <w:overflowPunct w:val="0"/>
              <w:spacing w:before="156" w:beforeLines="50" w:beforeAutospacing="0" w:after="0" w:afterAutospacing="0" w:line="480" w:lineRule="auto"/>
              <w:ind w:left="0" w:right="0"/>
              <w:jc w:val="center"/>
              <w:rPr>
                <w:rFonts w:hint="eastAsia" w:ascii="宋体" w:hAnsi="宋体" w:eastAsia="宋体" w:cs="宋体"/>
                <w:sz w:val="28"/>
                <w:szCs w:val="28"/>
              </w:rPr>
            </w:pPr>
            <w:r>
              <w:rPr>
                <w:rFonts w:hint="eastAsia" w:ascii="宋体" w:hAnsi="宋体" w:eastAsia="宋体" w:cs="宋体"/>
                <w:sz w:val="28"/>
                <w:szCs w:val="28"/>
              </w:rPr>
              <w:t>批准日期</w:t>
            </w:r>
          </w:p>
        </w:tc>
        <w:tc>
          <w:tcPr>
            <w:tcW w:w="2413" w:type="dxa"/>
            <w:noWrap w:val="0"/>
            <w:vAlign w:val="center"/>
          </w:tcPr>
          <w:p>
            <w:pPr>
              <w:keepNext w:val="0"/>
              <w:keepLines w:val="0"/>
              <w:suppressLineNumbers w:val="0"/>
              <w:overflowPunct w:val="0"/>
              <w:spacing w:before="156" w:beforeLines="50" w:beforeAutospacing="0" w:after="0" w:afterAutospacing="0" w:line="240" w:lineRule="auto"/>
              <w:ind w:left="0" w:right="0"/>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0" w:type="pct"/>
            <w:noWrap w:val="0"/>
            <w:vAlign w:val="center"/>
          </w:tcPr>
          <w:p>
            <w:pPr>
              <w:keepNext w:val="0"/>
              <w:keepLines w:val="0"/>
              <w:suppressLineNumbers w:val="0"/>
              <w:overflowPunct w:val="0"/>
              <w:spacing w:before="156" w:beforeLines="50" w:beforeAutospacing="0" w:after="0" w:afterAutospacing="0" w:line="480" w:lineRule="auto"/>
              <w:ind w:left="0" w:right="0"/>
              <w:jc w:val="center"/>
              <w:rPr>
                <w:rFonts w:hint="eastAsia" w:ascii="宋体" w:hAnsi="宋体" w:eastAsia="宋体" w:cs="宋体"/>
                <w:sz w:val="28"/>
                <w:szCs w:val="28"/>
              </w:rPr>
            </w:pPr>
            <w:r>
              <w:rPr>
                <w:rFonts w:hint="eastAsia" w:ascii="宋体" w:hAnsi="宋体" w:eastAsia="宋体" w:cs="宋体"/>
                <w:sz w:val="28"/>
                <w:szCs w:val="28"/>
              </w:rPr>
              <w:t>颁布日期</w:t>
            </w:r>
          </w:p>
        </w:tc>
        <w:tc>
          <w:tcPr>
            <w:tcW w:w="2409" w:type="dxa"/>
            <w:noWrap w:val="0"/>
            <w:vAlign w:val="center"/>
          </w:tcPr>
          <w:p>
            <w:pPr>
              <w:keepNext w:val="0"/>
              <w:keepLines w:val="0"/>
              <w:suppressLineNumbers w:val="0"/>
              <w:overflowPunct w:val="0"/>
              <w:spacing w:before="156" w:beforeLines="50" w:beforeAutospacing="0" w:after="0" w:afterAutospacing="0" w:line="240" w:lineRule="auto"/>
              <w:ind w:left="0" w:right="0"/>
              <w:jc w:val="center"/>
              <w:rPr>
                <w:rFonts w:hint="eastAsia" w:ascii="宋体" w:hAnsi="宋体" w:eastAsia="宋体" w:cs="宋体"/>
                <w:sz w:val="28"/>
                <w:szCs w:val="28"/>
              </w:rPr>
            </w:pPr>
          </w:p>
        </w:tc>
        <w:tc>
          <w:tcPr>
            <w:tcW w:w="1162" w:type="pct"/>
            <w:noWrap w:val="0"/>
            <w:vAlign w:val="center"/>
          </w:tcPr>
          <w:p>
            <w:pPr>
              <w:keepNext w:val="0"/>
              <w:keepLines w:val="0"/>
              <w:suppressLineNumbers w:val="0"/>
              <w:overflowPunct w:val="0"/>
              <w:spacing w:before="156" w:beforeLines="50" w:beforeAutospacing="0" w:after="0" w:afterAutospacing="0" w:line="480" w:lineRule="auto"/>
              <w:ind w:left="0" w:right="0"/>
              <w:jc w:val="center"/>
              <w:rPr>
                <w:rFonts w:hint="eastAsia" w:ascii="宋体" w:hAnsi="宋体" w:eastAsia="宋体" w:cs="宋体"/>
                <w:sz w:val="28"/>
                <w:szCs w:val="28"/>
              </w:rPr>
            </w:pPr>
            <w:r>
              <w:rPr>
                <w:rFonts w:hint="eastAsia" w:ascii="宋体" w:hAnsi="宋体" w:eastAsia="宋体" w:cs="宋体"/>
                <w:sz w:val="28"/>
                <w:szCs w:val="28"/>
              </w:rPr>
              <w:t>起效日期</w:t>
            </w:r>
          </w:p>
        </w:tc>
        <w:tc>
          <w:tcPr>
            <w:tcW w:w="2413" w:type="dxa"/>
            <w:noWrap w:val="0"/>
            <w:vAlign w:val="center"/>
          </w:tcPr>
          <w:p>
            <w:pPr>
              <w:keepNext w:val="0"/>
              <w:keepLines w:val="0"/>
              <w:suppressLineNumbers w:val="0"/>
              <w:overflowPunct w:val="0"/>
              <w:spacing w:before="156" w:beforeLines="50" w:beforeAutospacing="0" w:after="0" w:afterAutospacing="0" w:line="240" w:lineRule="auto"/>
              <w:ind w:left="0" w:right="0"/>
              <w:jc w:val="center"/>
              <w:rPr>
                <w:rFonts w:hint="eastAsia" w:ascii="宋体" w:hAnsi="宋体" w:eastAsia="宋体" w:cs="宋体"/>
                <w:sz w:val="28"/>
                <w:szCs w:val="28"/>
              </w:rPr>
            </w:pPr>
          </w:p>
        </w:tc>
      </w:tr>
    </w:tbl>
    <w:p>
      <w:pPr>
        <w:spacing w:line="360" w:lineRule="auto"/>
        <w:rPr>
          <w:rFonts w:eastAsia="华文仿宋"/>
          <w:sz w:val="28"/>
          <w:szCs w:val="28"/>
        </w:rPr>
      </w:pPr>
    </w:p>
    <w:p>
      <w:pPr>
        <w:spacing w:line="360" w:lineRule="auto"/>
        <w:rPr>
          <w:rFonts w:eastAsia="华文仿宋"/>
          <w:sz w:val="28"/>
          <w:szCs w:val="28"/>
        </w:rPr>
      </w:pPr>
    </w:p>
    <w:p>
      <w:pPr>
        <w:spacing w:line="360" w:lineRule="auto"/>
        <w:jc w:val="left"/>
        <w:rPr>
          <w:rFonts w:hint="eastAsia" w:eastAsia="华文仿宋"/>
          <w:b/>
          <w:bCs/>
          <w:sz w:val="28"/>
          <w:szCs w:val="28"/>
        </w:rPr>
      </w:pPr>
    </w:p>
    <w:p>
      <w:pPr>
        <w:spacing w:line="360" w:lineRule="auto"/>
        <w:jc w:val="left"/>
        <w:rPr>
          <w:rFonts w:eastAsia="华文仿宋"/>
          <w:bCs/>
          <w:sz w:val="28"/>
          <w:szCs w:val="28"/>
        </w:rPr>
      </w:pPr>
      <w:r>
        <w:rPr>
          <w:rFonts w:hint="eastAsia"/>
          <w:bCs/>
          <w:sz w:val="28"/>
          <w:szCs w:val="28"/>
          <w:lang w:bidi="ar"/>
        </w:rPr>
        <w:t>保密文件，本规程仅限于绍兴市妇幼保健院临床试验伦理审查委员会使用，未经许可，不得擅自使用、泄露、公布及出版。</w:t>
      </w:r>
    </w:p>
    <w:p>
      <w:pPr>
        <w:keepNext w:val="0"/>
        <w:keepLines w:val="0"/>
        <w:pageBreakBefore w:val="0"/>
        <w:widowControl w:val="0"/>
        <w:tabs>
          <w:tab w:val="center" w:pos="4345"/>
          <w:tab w:val="right" w:pos="8691"/>
        </w:tabs>
        <w:kinsoku/>
        <w:wordWrap/>
        <w:overflowPunct/>
        <w:topLinePunct w:val="0"/>
        <w:autoSpaceDE/>
        <w:autoSpaceDN/>
        <w:bidi w:val="0"/>
        <w:adjustRightInd/>
        <w:snapToGrid/>
        <w:spacing w:before="469" w:beforeLines="150" w:after="156" w:afterLines="50" w:line="360" w:lineRule="auto"/>
        <w:jc w:val="center"/>
        <w:textAlignment w:val="auto"/>
        <w:rPr>
          <w:rFonts w:hint="eastAsia" w:ascii="宋体" w:hAnsi="宋体" w:cs="宋体"/>
          <w:b/>
          <w:bCs/>
          <w:sz w:val="28"/>
          <w:szCs w:val="28"/>
        </w:rPr>
      </w:pPr>
      <w:r>
        <w:rPr>
          <w:rFonts w:hint="eastAsia" w:ascii="宋体" w:hAnsi="宋体" w:cs="宋体"/>
          <w:b/>
          <w:bCs/>
          <w:sz w:val="28"/>
          <w:szCs w:val="28"/>
        </w:rPr>
        <w:t>临床试验伦理审查申请指南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sz w:val="28"/>
          <w:szCs w:val="28"/>
        </w:rPr>
      </w:pPr>
      <w:r>
        <w:rPr>
          <w:rFonts w:hint="eastAsia" w:ascii="宋体" w:hAnsi="宋体" w:cs="宋体"/>
          <w:sz w:val="28"/>
          <w:szCs w:val="28"/>
        </w:rPr>
        <w:t xml:space="preserve">    为指导研究者/申办者、课题负责人提交临床试验项目的伦理审查申请/报告，特制定本指南。</w:t>
      </w:r>
    </w:p>
    <w:p>
      <w:pPr>
        <w:keepNext w:val="0"/>
        <w:keepLines w:val="0"/>
        <w:pageBreakBefore w:val="0"/>
        <w:numPr>
          <w:ilvl w:val="0"/>
          <w:numId w:val="1"/>
        </w:numPr>
        <w:tabs>
          <w:tab w:val="left" w:pos="709"/>
        </w:tabs>
        <w:kinsoku/>
        <w:wordWrap/>
        <w:overflowPunct/>
        <w:topLinePunct w:val="0"/>
        <w:autoSpaceDE/>
        <w:autoSpaceDN/>
        <w:bidi w:val="0"/>
        <w:adjustRightInd/>
        <w:snapToGrid/>
        <w:spacing w:line="360" w:lineRule="auto"/>
        <w:textAlignment w:val="auto"/>
        <w:rPr>
          <w:rFonts w:hint="eastAsia" w:ascii="宋体" w:hAnsi="宋体" w:cs="宋体"/>
          <w:b/>
          <w:bCs/>
          <w:sz w:val="28"/>
          <w:szCs w:val="28"/>
        </w:rPr>
      </w:pPr>
      <w:r>
        <w:rPr>
          <w:rFonts w:hint="eastAsia" w:ascii="宋体" w:hAnsi="宋体" w:cs="宋体"/>
          <w:b/>
          <w:bCs/>
          <w:sz w:val="28"/>
          <w:szCs w:val="28"/>
        </w:rPr>
        <w:t>提交伦理审查的研究项目范围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sz w:val="28"/>
          <w:szCs w:val="28"/>
        </w:rPr>
      </w:pPr>
      <w:r>
        <w:rPr>
          <w:rFonts w:hint="eastAsia" w:ascii="宋体" w:hAnsi="宋体" w:cs="宋体"/>
          <w:sz w:val="28"/>
          <w:szCs w:val="28"/>
        </w:rPr>
        <w:t xml:space="preserve">    根据《药物临床试验质量管理规范》、</w:t>
      </w:r>
      <w:r>
        <w:rPr>
          <w:sz w:val="28"/>
          <w:szCs w:val="28"/>
        </w:rPr>
        <w:t>《涉及人的生命科学和医学研究伦理审查办法》</w:t>
      </w:r>
      <w:r>
        <w:rPr>
          <w:rFonts w:hint="eastAsia"/>
          <w:sz w:val="28"/>
          <w:szCs w:val="28"/>
        </w:rPr>
        <w:t>、《涉及人的生物医学研究伦理审查办法》、</w:t>
      </w:r>
      <w:r>
        <w:rPr>
          <w:sz w:val="28"/>
          <w:szCs w:val="28"/>
        </w:rPr>
        <w:t>《药物临床试验伦理审查工作指导原则》</w:t>
      </w:r>
      <w:r>
        <w:rPr>
          <w:rFonts w:hint="eastAsia"/>
          <w:sz w:val="28"/>
          <w:szCs w:val="28"/>
        </w:rPr>
        <w:t>、</w:t>
      </w:r>
      <w:r>
        <w:rPr>
          <w:sz w:val="28"/>
          <w:szCs w:val="28"/>
        </w:rPr>
        <w:t>《赫尔辛基宣言》</w:t>
      </w:r>
      <w:r>
        <w:rPr>
          <w:rFonts w:hint="eastAsia" w:ascii="宋体" w:hAnsi="宋体" w:cs="宋体"/>
          <w:sz w:val="28"/>
          <w:szCs w:val="28"/>
        </w:rPr>
        <w:t>等相关法律法规，药物临床试验项目应依据本指南提交伦理审查申请和/或报告。</w:t>
      </w:r>
    </w:p>
    <w:p>
      <w:pPr>
        <w:keepNext w:val="0"/>
        <w:keepLines w:val="0"/>
        <w:pageBreakBefore w:val="0"/>
        <w:numPr>
          <w:ilvl w:val="0"/>
          <w:numId w:val="1"/>
        </w:numPr>
        <w:tabs>
          <w:tab w:val="left" w:pos="709"/>
        </w:tabs>
        <w:kinsoku/>
        <w:wordWrap/>
        <w:overflowPunct/>
        <w:topLinePunct w:val="0"/>
        <w:autoSpaceDE/>
        <w:autoSpaceDN/>
        <w:bidi w:val="0"/>
        <w:adjustRightInd/>
        <w:snapToGrid/>
        <w:spacing w:line="360" w:lineRule="auto"/>
        <w:textAlignment w:val="auto"/>
        <w:rPr>
          <w:rFonts w:hint="eastAsia" w:ascii="宋体" w:hAnsi="宋体" w:cs="宋体"/>
          <w:b/>
          <w:bCs/>
          <w:sz w:val="28"/>
          <w:szCs w:val="28"/>
        </w:rPr>
      </w:pPr>
      <w:r>
        <w:rPr>
          <w:rFonts w:hint="eastAsia" w:ascii="宋体" w:hAnsi="宋体" w:cs="宋体"/>
          <w:b/>
          <w:bCs/>
          <w:sz w:val="28"/>
          <w:szCs w:val="28"/>
        </w:rPr>
        <w:t>初始审查</w:t>
      </w:r>
    </w:p>
    <w:p>
      <w:pPr>
        <w:keepNext w:val="0"/>
        <w:keepLines w:val="0"/>
        <w:pageBreakBefore w:val="0"/>
        <w:numPr>
          <w:ilvl w:val="0"/>
          <w:numId w:val="2"/>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sz w:val="28"/>
          <w:szCs w:val="28"/>
        </w:rPr>
      </w:pPr>
      <w:r>
        <w:rPr>
          <w:rFonts w:hint="eastAsia" w:ascii="宋体" w:hAnsi="宋体" w:cs="宋体"/>
          <w:sz w:val="28"/>
          <w:szCs w:val="28"/>
        </w:rPr>
        <w:t>初始审查申请：符合上述范围的临床试验项目，应在研究开始前提交伦理审查申请，经批准后方可实施。</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cs="宋体"/>
          <w:sz w:val="28"/>
          <w:szCs w:val="28"/>
        </w:rPr>
      </w:pPr>
      <w:r>
        <w:rPr>
          <w:rFonts w:hint="eastAsia" w:ascii="宋体" w:hAnsi="宋体" w:cs="宋体"/>
          <w:sz w:val="28"/>
          <w:szCs w:val="28"/>
        </w:rPr>
        <w:t>申请时间：首次向临床试验伦理委员会提交的审查申请。</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cs="宋体"/>
          <w:sz w:val="28"/>
          <w:szCs w:val="28"/>
        </w:rPr>
      </w:pPr>
      <w:r>
        <w:rPr>
          <w:rFonts w:hint="eastAsia" w:ascii="宋体" w:hAnsi="宋体" w:cs="宋体"/>
          <w:sz w:val="28"/>
          <w:szCs w:val="28"/>
        </w:rPr>
        <w:t>需提交以下资料：</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纸质版资料：初始审查申请表，盖章的全套资料（详见药物临床试验初始审查申请递交资料清单）壹份，试验方案、知情同意书、受试者日记卡（如有）和招募受试者的材料（如有）共一式</w:t>
      </w:r>
      <w:r>
        <w:rPr>
          <w:rFonts w:hint="default" w:ascii="Times New Roman" w:hAnsi="Times New Roman" w:cs="Times New Roman"/>
          <w:sz w:val="28"/>
          <w:szCs w:val="28"/>
        </w:rPr>
        <w:t>11</w:t>
      </w:r>
      <w:r>
        <w:rPr>
          <w:rFonts w:hint="eastAsia" w:ascii="宋体" w:hAnsi="宋体" w:cs="宋体"/>
          <w:sz w:val="28"/>
          <w:szCs w:val="28"/>
        </w:rPr>
        <w:t>份。</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电子版资料一套（</w:t>
      </w:r>
      <w:r>
        <w:rPr>
          <w:rFonts w:hint="default" w:ascii="Times New Roman" w:hAnsi="Times New Roman" w:cs="Times New Roman"/>
          <w:sz w:val="28"/>
          <w:szCs w:val="28"/>
        </w:rPr>
        <w:t>PDF</w:t>
      </w:r>
      <w:r>
        <w:rPr>
          <w:rFonts w:hint="eastAsia" w:ascii="宋体" w:hAnsi="宋体" w:cs="宋体"/>
          <w:sz w:val="28"/>
          <w:szCs w:val="28"/>
        </w:rPr>
        <w:t>版）。</w:t>
      </w:r>
    </w:p>
    <w:p>
      <w:pPr>
        <w:keepNext w:val="0"/>
        <w:keepLines w:val="0"/>
        <w:pageBreakBefore w:val="0"/>
        <w:numPr>
          <w:ilvl w:val="0"/>
          <w:numId w:val="1"/>
        </w:numPr>
        <w:tabs>
          <w:tab w:val="left" w:pos="709"/>
        </w:tabs>
        <w:kinsoku/>
        <w:wordWrap/>
        <w:overflowPunct/>
        <w:topLinePunct w:val="0"/>
        <w:autoSpaceDE/>
        <w:autoSpaceDN/>
        <w:bidi w:val="0"/>
        <w:adjustRightInd/>
        <w:snapToGrid/>
        <w:spacing w:line="360" w:lineRule="auto"/>
        <w:textAlignment w:val="auto"/>
        <w:rPr>
          <w:rFonts w:hint="eastAsia" w:ascii="宋体" w:hAnsi="宋体" w:cs="宋体"/>
          <w:b/>
          <w:bCs/>
          <w:sz w:val="28"/>
          <w:szCs w:val="28"/>
        </w:rPr>
      </w:pPr>
      <w:r>
        <w:rPr>
          <w:rFonts w:hint="eastAsia" w:ascii="宋体" w:hAnsi="宋体" w:cs="宋体"/>
          <w:b/>
          <w:bCs/>
          <w:sz w:val="28"/>
          <w:szCs w:val="28"/>
        </w:rPr>
        <w:t>修正案审查</w:t>
      </w:r>
    </w:p>
    <w:p>
      <w:pPr>
        <w:pStyle w:val="15"/>
        <w:keepNext w:val="0"/>
        <w:keepLines w:val="0"/>
        <w:pageBreakBefore w:val="0"/>
        <w:numPr>
          <w:ilvl w:val="0"/>
          <w:numId w:val="3"/>
        </w:numPr>
        <w:kinsoku/>
        <w:wordWrap/>
        <w:overflowPunct/>
        <w:topLinePunct w:val="0"/>
        <w:autoSpaceDE/>
        <w:autoSpaceDN/>
        <w:bidi w:val="0"/>
        <w:adjustRightInd/>
        <w:snapToGrid/>
        <w:spacing w:line="360" w:lineRule="auto"/>
        <w:jc w:val="left"/>
        <w:textAlignment w:val="auto"/>
        <w:rPr>
          <w:rFonts w:hint="eastAsia" w:ascii="宋体" w:hAnsi="宋体" w:cs="宋体"/>
          <w:sz w:val="28"/>
          <w:szCs w:val="28"/>
        </w:rPr>
      </w:pPr>
      <w:r>
        <w:rPr>
          <w:rFonts w:hint="eastAsia" w:ascii="宋体" w:hAnsi="宋体" w:cs="宋体"/>
          <w:sz w:val="28"/>
          <w:szCs w:val="28"/>
        </w:rPr>
        <w:t>研究过程中若变更主要研究者，对临床研究方案、知情同意书、招募材料等的任何修改，应向临床试验伦理委员会提交修正案审查申请，经批准后执行。</w:t>
      </w:r>
    </w:p>
    <w:p>
      <w:pPr>
        <w:pStyle w:val="15"/>
        <w:keepNext w:val="0"/>
        <w:keepLines w:val="0"/>
        <w:pageBreakBefore w:val="0"/>
        <w:numPr>
          <w:ilvl w:val="0"/>
          <w:numId w:val="3"/>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cs="宋体"/>
          <w:sz w:val="28"/>
          <w:szCs w:val="28"/>
        </w:rPr>
      </w:pPr>
      <w:r>
        <w:rPr>
          <w:rFonts w:hint="eastAsia" w:ascii="宋体" w:hAnsi="宋体" w:cs="宋体"/>
          <w:sz w:val="28"/>
          <w:szCs w:val="28"/>
        </w:rPr>
        <w:t>需提交的资料：修正案审查申请表，并附上修正说明。</w:t>
      </w:r>
    </w:p>
    <w:p>
      <w:pPr>
        <w:keepNext w:val="0"/>
        <w:keepLines w:val="0"/>
        <w:pageBreakBefore w:val="0"/>
        <w:numPr>
          <w:ilvl w:val="0"/>
          <w:numId w:val="1"/>
        </w:numPr>
        <w:tabs>
          <w:tab w:val="left" w:pos="709"/>
        </w:tabs>
        <w:kinsoku/>
        <w:wordWrap/>
        <w:overflowPunct/>
        <w:topLinePunct w:val="0"/>
        <w:autoSpaceDE/>
        <w:autoSpaceDN/>
        <w:bidi w:val="0"/>
        <w:adjustRightInd/>
        <w:snapToGrid/>
        <w:spacing w:line="360" w:lineRule="auto"/>
        <w:textAlignment w:val="auto"/>
        <w:rPr>
          <w:rFonts w:hint="eastAsia" w:ascii="宋体" w:hAnsi="宋体" w:cs="宋体"/>
          <w:b/>
          <w:bCs/>
          <w:sz w:val="28"/>
          <w:szCs w:val="28"/>
        </w:rPr>
      </w:pPr>
      <w:r>
        <w:rPr>
          <w:rFonts w:hint="eastAsia" w:ascii="宋体" w:hAnsi="宋体" w:cs="宋体"/>
          <w:b/>
          <w:bCs/>
          <w:sz w:val="28"/>
          <w:szCs w:val="28"/>
        </w:rPr>
        <w:t>年度及定期跟踪审查</w:t>
      </w:r>
    </w:p>
    <w:p>
      <w:pPr>
        <w:pStyle w:val="15"/>
        <w:keepNext w:val="0"/>
        <w:keepLines w:val="0"/>
        <w:pageBreakBefore w:val="0"/>
        <w:numPr>
          <w:ilvl w:val="0"/>
          <w:numId w:val="4"/>
        </w:numPr>
        <w:kinsoku/>
        <w:wordWrap/>
        <w:overflowPunct/>
        <w:topLinePunct w:val="0"/>
        <w:autoSpaceDE/>
        <w:autoSpaceDN/>
        <w:bidi w:val="0"/>
        <w:adjustRightInd/>
        <w:snapToGrid/>
        <w:spacing w:line="360" w:lineRule="auto"/>
        <w:ind w:leftChars="0"/>
        <w:jc w:val="left"/>
        <w:textAlignment w:val="auto"/>
        <w:rPr>
          <w:rFonts w:hint="eastAsia" w:ascii="宋体" w:hAnsi="宋体" w:cs="宋体"/>
          <w:sz w:val="28"/>
          <w:szCs w:val="28"/>
        </w:rPr>
      </w:pPr>
      <w:r>
        <w:rPr>
          <w:rFonts w:hint="eastAsia" w:ascii="宋体" w:hAnsi="宋体" w:cs="宋体"/>
          <w:sz w:val="28"/>
          <w:szCs w:val="28"/>
        </w:rPr>
        <w:t>按照伦理审查批件规定的年度</w:t>
      </w:r>
      <w:r>
        <w:rPr>
          <w:rFonts w:hint="eastAsia" w:ascii="宋体" w:hAnsi="宋体" w:cs="宋体"/>
          <w:sz w:val="28"/>
          <w:szCs w:val="28"/>
          <w:lang w:val="en-US" w:eastAsia="zh-CN"/>
        </w:rPr>
        <w:t>/</w:t>
      </w:r>
      <w:r>
        <w:rPr>
          <w:rFonts w:hint="eastAsia" w:ascii="宋体" w:hAnsi="宋体" w:cs="宋体"/>
          <w:sz w:val="28"/>
          <w:szCs w:val="28"/>
        </w:rPr>
        <w:t>定期跟踪审查频率，在截止日期前</w:t>
      </w:r>
      <w:r>
        <w:rPr>
          <w:rFonts w:hint="default" w:ascii="Times New Roman" w:hAnsi="Times New Roman" w:cs="Times New Roman"/>
          <w:sz w:val="28"/>
          <w:szCs w:val="28"/>
        </w:rPr>
        <w:t>1</w:t>
      </w:r>
      <w:r>
        <w:rPr>
          <w:rFonts w:hint="eastAsia" w:ascii="宋体" w:hAnsi="宋体" w:cs="宋体"/>
          <w:sz w:val="28"/>
          <w:szCs w:val="28"/>
        </w:rPr>
        <w:t>个月提交</w:t>
      </w:r>
      <w:r>
        <w:rPr>
          <w:rFonts w:hint="eastAsia" w:ascii="宋体" w:hAnsi="宋体" w:cs="宋体"/>
          <w:color w:val="auto"/>
          <w:sz w:val="28"/>
          <w:szCs w:val="28"/>
          <w:lang w:val="en-US" w:eastAsia="zh-CN"/>
        </w:rPr>
        <w:t>临床</w:t>
      </w:r>
      <w:r>
        <w:rPr>
          <w:rFonts w:hint="eastAsia" w:ascii="宋体" w:hAnsi="宋体" w:cs="宋体"/>
          <w:sz w:val="28"/>
          <w:szCs w:val="28"/>
        </w:rPr>
        <w:t>研究进展报告，</w:t>
      </w:r>
      <w:r>
        <w:rPr>
          <w:rFonts w:hint="eastAsia" w:ascii="宋体" w:hAnsi="宋体" w:cs="宋体"/>
          <w:sz w:val="28"/>
          <w:szCs w:val="28"/>
          <w:lang w:val="en-US" w:eastAsia="zh-CN"/>
        </w:rPr>
        <w:t>报</w:t>
      </w:r>
      <w:r>
        <w:rPr>
          <w:rFonts w:hint="eastAsia" w:ascii="宋体" w:hAnsi="宋体" w:cs="宋体"/>
          <w:sz w:val="28"/>
          <w:szCs w:val="28"/>
        </w:rPr>
        <w:t>临床试验伦理委员会审查。如果伦理审查批件有效期到期，而项目没有启动，需重新提交伦理申请并获得批准后方可实施。</w:t>
      </w:r>
    </w:p>
    <w:p>
      <w:pPr>
        <w:pStyle w:val="15"/>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宋体" w:hAnsi="宋体" w:cs="宋体"/>
          <w:sz w:val="28"/>
          <w:szCs w:val="28"/>
        </w:rPr>
      </w:pPr>
      <w:r>
        <w:rPr>
          <w:rFonts w:hint="eastAsia" w:ascii="宋体" w:hAnsi="宋体" w:cs="宋体"/>
          <w:sz w:val="28"/>
          <w:szCs w:val="28"/>
        </w:rPr>
        <w:t>需提交的资料：</w:t>
      </w:r>
      <w:r>
        <w:rPr>
          <w:rFonts w:hint="eastAsia" w:ascii="宋体" w:hAnsi="宋体" w:cs="宋体"/>
          <w:strike w:val="0"/>
          <w:dstrike w:val="0"/>
          <w:color w:val="auto"/>
          <w:sz w:val="28"/>
          <w:szCs w:val="28"/>
          <w:highlight w:val="none"/>
          <w:lang w:val="en-US" w:eastAsia="zh-CN"/>
        </w:rPr>
        <w:t>临床</w:t>
      </w:r>
      <w:r>
        <w:rPr>
          <w:rFonts w:hint="eastAsia" w:ascii="宋体" w:hAnsi="宋体" w:cs="宋体"/>
          <w:sz w:val="28"/>
          <w:szCs w:val="28"/>
        </w:rPr>
        <w:t>研究进展报告。</w:t>
      </w:r>
    </w:p>
    <w:p>
      <w:pPr>
        <w:keepNext w:val="0"/>
        <w:keepLines w:val="0"/>
        <w:pageBreakBefore w:val="0"/>
        <w:numPr>
          <w:ilvl w:val="0"/>
          <w:numId w:val="1"/>
        </w:numPr>
        <w:tabs>
          <w:tab w:val="left" w:pos="709"/>
        </w:tabs>
        <w:kinsoku/>
        <w:wordWrap/>
        <w:overflowPunct/>
        <w:topLinePunct w:val="0"/>
        <w:autoSpaceDE/>
        <w:autoSpaceDN/>
        <w:bidi w:val="0"/>
        <w:adjustRightInd/>
        <w:snapToGrid/>
        <w:spacing w:line="360" w:lineRule="auto"/>
        <w:textAlignment w:val="auto"/>
        <w:rPr>
          <w:rFonts w:hint="eastAsia" w:ascii="宋体" w:hAnsi="宋体" w:cs="宋体"/>
          <w:b/>
          <w:bCs/>
          <w:sz w:val="28"/>
          <w:szCs w:val="28"/>
        </w:rPr>
      </w:pPr>
      <w:r>
        <w:rPr>
          <w:rFonts w:hint="eastAsia" w:ascii="宋体" w:hAnsi="宋体" w:cs="宋体"/>
          <w:b/>
          <w:bCs/>
          <w:sz w:val="28"/>
          <w:szCs w:val="28"/>
        </w:rPr>
        <w:t>严重不良事件/</w:t>
      </w:r>
      <w:r>
        <w:rPr>
          <w:rFonts w:hint="default" w:ascii="Times New Roman" w:hAnsi="Times New Roman" w:cs="Times New Roman"/>
          <w:b/>
          <w:bCs/>
          <w:sz w:val="28"/>
          <w:szCs w:val="28"/>
        </w:rPr>
        <w:t>SUSAR</w:t>
      </w:r>
      <w:r>
        <w:rPr>
          <w:rFonts w:hint="eastAsia" w:ascii="宋体" w:hAnsi="宋体" w:cs="宋体"/>
          <w:b/>
          <w:bCs/>
          <w:sz w:val="28"/>
          <w:szCs w:val="28"/>
        </w:rPr>
        <w:t>审查</w:t>
      </w:r>
    </w:p>
    <w:p>
      <w:pPr>
        <w:pStyle w:val="15"/>
        <w:keepNext w:val="0"/>
        <w:keepLines w:val="0"/>
        <w:pageBreakBefore w:val="0"/>
        <w:numPr>
          <w:ilvl w:val="1"/>
          <w:numId w:val="5"/>
        </w:numPr>
        <w:kinsoku/>
        <w:wordWrap/>
        <w:overflowPunct/>
        <w:topLinePunct w:val="0"/>
        <w:autoSpaceDE/>
        <w:autoSpaceDN/>
        <w:bidi w:val="0"/>
        <w:adjustRightInd/>
        <w:snapToGrid/>
        <w:spacing w:line="360" w:lineRule="auto"/>
        <w:ind w:left="0" w:firstLine="426" w:firstLineChars="0"/>
        <w:jc w:val="left"/>
        <w:textAlignment w:val="auto"/>
        <w:rPr>
          <w:rFonts w:hint="eastAsia" w:ascii="宋体" w:hAnsi="宋体" w:cs="宋体"/>
          <w:sz w:val="28"/>
          <w:szCs w:val="28"/>
        </w:rPr>
      </w:pPr>
      <w:r>
        <w:rPr>
          <w:rFonts w:hint="eastAsia" w:ascii="宋体" w:hAnsi="宋体" w:cs="宋体"/>
          <w:sz w:val="28"/>
          <w:szCs w:val="28"/>
        </w:rPr>
        <w:t>本院发生的</w:t>
      </w:r>
      <w:r>
        <w:rPr>
          <w:rFonts w:hint="default" w:ascii="Times New Roman" w:hAnsi="Times New Roman" w:cs="Times New Roman"/>
          <w:sz w:val="28"/>
          <w:szCs w:val="28"/>
        </w:rPr>
        <w:t>SAE</w:t>
      </w:r>
      <w:r>
        <w:rPr>
          <w:rFonts w:hint="eastAsia" w:ascii="宋体" w:hAnsi="宋体" w:cs="宋体"/>
          <w:sz w:val="28"/>
          <w:szCs w:val="28"/>
        </w:rPr>
        <w:t>：主要研究者应在获知后</w:t>
      </w:r>
      <w:r>
        <w:rPr>
          <w:rFonts w:hint="default" w:ascii="Times New Roman" w:hAnsi="Times New Roman" w:cs="Times New Roman"/>
          <w:sz w:val="28"/>
          <w:szCs w:val="28"/>
        </w:rPr>
        <w:t>24</w:t>
      </w:r>
      <w:r>
        <w:rPr>
          <w:rFonts w:hint="eastAsia" w:ascii="宋体" w:hAnsi="宋体" w:cs="宋体"/>
          <w:sz w:val="28"/>
          <w:szCs w:val="28"/>
        </w:rPr>
        <w:t>小时内（或方案中规定的时间）报告给申办者及本临床试验伦理委员会。</w:t>
      </w:r>
    </w:p>
    <w:p>
      <w:pPr>
        <w:pStyle w:val="15"/>
        <w:keepNext w:val="0"/>
        <w:keepLines w:val="0"/>
        <w:pageBreakBefore w:val="0"/>
        <w:numPr>
          <w:ilvl w:val="1"/>
          <w:numId w:val="5"/>
        </w:numPr>
        <w:kinsoku/>
        <w:wordWrap/>
        <w:overflowPunct/>
        <w:topLinePunct w:val="0"/>
        <w:autoSpaceDE/>
        <w:autoSpaceDN/>
        <w:bidi w:val="0"/>
        <w:adjustRightInd/>
        <w:snapToGrid/>
        <w:spacing w:line="360" w:lineRule="auto"/>
        <w:ind w:left="0" w:firstLine="426" w:firstLineChars="0"/>
        <w:jc w:val="left"/>
        <w:textAlignment w:val="auto"/>
        <w:rPr>
          <w:rFonts w:hint="eastAsia" w:ascii="宋体" w:hAnsi="宋体" w:cs="宋体"/>
          <w:sz w:val="28"/>
          <w:szCs w:val="28"/>
        </w:rPr>
      </w:pPr>
      <w:r>
        <w:rPr>
          <w:rFonts w:hint="eastAsia" w:ascii="宋体" w:hAnsi="宋体" w:cs="宋体"/>
          <w:sz w:val="28"/>
          <w:szCs w:val="28"/>
        </w:rPr>
        <w:t>外院发生的</w:t>
      </w:r>
      <w:r>
        <w:rPr>
          <w:rFonts w:hint="default" w:ascii="Times New Roman" w:hAnsi="Times New Roman" w:cs="Times New Roman"/>
          <w:sz w:val="28"/>
          <w:szCs w:val="28"/>
        </w:rPr>
        <w:t>SAE</w:t>
      </w:r>
      <w:r>
        <w:rPr>
          <w:rFonts w:hint="eastAsia" w:ascii="宋体" w:hAnsi="宋体" w:cs="宋体"/>
          <w:sz w:val="28"/>
          <w:szCs w:val="28"/>
        </w:rPr>
        <w:t>：本临床试验伦理委员会不主动要求申办方报告。</w:t>
      </w:r>
    </w:p>
    <w:p>
      <w:pPr>
        <w:pStyle w:val="15"/>
        <w:keepNext w:val="0"/>
        <w:keepLines w:val="0"/>
        <w:pageBreakBefore w:val="0"/>
        <w:numPr>
          <w:ilvl w:val="1"/>
          <w:numId w:val="5"/>
        </w:numPr>
        <w:kinsoku/>
        <w:wordWrap/>
        <w:overflowPunct/>
        <w:topLinePunct w:val="0"/>
        <w:autoSpaceDE/>
        <w:autoSpaceDN/>
        <w:bidi w:val="0"/>
        <w:adjustRightInd/>
        <w:snapToGrid/>
        <w:spacing w:line="360" w:lineRule="auto"/>
        <w:ind w:left="0" w:firstLine="426" w:firstLineChars="0"/>
        <w:jc w:val="left"/>
        <w:textAlignment w:val="auto"/>
        <w:rPr>
          <w:rFonts w:hint="eastAsia" w:ascii="宋体" w:hAnsi="宋体" w:cs="宋体"/>
          <w:sz w:val="28"/>
          <w:szCs w:val="28"/>
        </w:rPr>
      </w:pPr>
      <w:r>
        <w:rPr>
          <w:rFonts w:hint="default" w:ascii="Times New Roman" w:hAnsi="Times New Roman" w:cs="Times New Roman"/>
          <w:sz w:val="28"/>
          <w:szCs w:val="28"/>
        </w:rPr>
        <w:t>SUSAR</w:t>
      </w:r>
      <w:r>
        <w:rPr>
          <w:rFonts w:hint="eastAsia" w:ascii="宋体" w:hAnsi="宋体" w:cs="宋体"/>
          <w:sz w:val="28"/>
          <w:szCs w:val="28"/>
        </w:rPr>
        <w:t>：研究者收到申办方发送的</w:t>
      </w:r>
      <w:r>
        <w:rPr>
          <w:rFonts w:hint="default" w:ascii="Times New Roman" w:hAnsi="Times New Roman" w:cs="Times New Roman"/>
          <w:sz w:val="28"/>
          <w:szCs w:val="28"/>
        </w:rPr>
        <w:t>SUSAR</w:t>
      </w:r>
      <w:r>
        <w:rPr>
          <w:rFonts w:hint="eastAsia" w:ascii="宋体" w:hAnsi="宋体" w:cs="宋体"/>
          <w:sz w:val="28"/>
          <w:szCs w:val="28"/>
        </w:rPr>
        <w:t>报告后及时签收阅读，并在获得报告后</w:t>
      </w:r>
      <w:r>
        <w:rPr>
          <w:rFonts w:hint="default" w:ascii="Times New Roman" w:hAnsi="Times New Roman" w:cs="Times New Roman"/>
          <w:sz w:val="28"/>
          <w:szCs w:val="28"/>
        </w:rPr>
        <w:t>24</w:t>
      </w:r>
      <w:r>
        <w:rPr>
          <w:rFonts w:hint="eastAsia" w:ascii="宋体" w:hAnsi="宋体" w:cs="宋体"/>
          <w:sz w:val="28"/>
          <w:szCs w:val="28"/>
        </w:rPr>
        <w:t>小时内递交临床试验伦理委员会。</w:t>
      </w:r>
    </w:p>
    <w:p>
      <w:pPr>
        <w:pStyle w:val="15"/>
        <w:keepNext w:val="0"/>
        <w:keepLines w:val="0"/>
        <w:pageBreakBefore w:val="0"/>
        <w:numPr>
          <w:ilvl w:val="1"/>
          <w:numId w:val="5"/>
        </w:numPr>
        <w:kinsoku/>
        <w:wordWrap/>
        <w:overflowPunct/>
        <w:topLinePunct w:val="0"/>
        <w:autoSpaceDE/>
        <w:autoSpaceDN/>
        <w:bidi w:val="0"/>
        <w:adjustRightInd/>
        <w:snapToGrid/>
        <w:spacing w:line="360" w:lineRule="auto"/>
        <w:ind w:left="0" w:firstLine="426" w:firstLineChars="0"/>
        <w:jc w:val="left"/>
        <w:textAlignment w:val="auto"/>
        <w:rPr>
          <w:rFonts w:hint="eastAsia" w:ascii="宋体" w:hAnsi="宋体" w:cs="宋体"/>
          <w:sz w:val="28"/>
          <w:szCs w:val="28"/>
        </w:rPr>
      </w:pPr>
      <w:r>
        <w:rPr>
          <w:rFonts w:hint="eastAsia" w:ascii="宋体" w:hAnsi="宋体" w:cs="宋体"/>
          <w:sz w:val="28"/>
          <w:szCs w:val="28"/>
        </w:rPr>
        <w:t>境外与外院发生的</w:t>
      </w:r>
      <w:r>
        <w:rPr>
          <w:rFonts w:hint="default" w:ascii="Times New Roman" w:hAnsi="Times New Roman" w:cs="Times New Roman"/>
          <w:sz w:val="28"/>
          <w:szCs w:val="28"/>
        </w:rPr>
        <w:t>SUSAR</w:t>
      </w:r>
      <w:r>
        <w:rPr>
          <w:rFonts w:hint="eastAsia" w:ascii="宋体" w:hAnsi="宋体" w:cs="宋体"/>
          <w:sz w:val="28"/>
          <w:szCs w:val="28"/>
        </w:rPr>
        <w:t>：申办方应至少每</w:t>
      </w:r>
      <w:r>
        <w:rPr>
          <w:rFonts w:hint="default" w:ascii="Times New Roman" w:hAnsi="Times New Roman" w:cs="Times New Roman"/>
          <w:sz w:val="28"/>
          <w:szCs w:val="28"/>
        </w:rPr>
        <w:t>3</w:t>
      </w:r>
      <w:r>
        <w:rPr>
          <w:rFonts w:hint="eastAsia" w:ascii="宋体" w:hAnsi="宋体" w:cs="宋体"/>
          <w:sz w:val="28"/>
          <w:szCs w:val="28"/>
        </w:rPr>
        <w:t xml:space="preserve">个月一次报告临床试验伦理委员会，不建议申办者以个例形式通报。 </w:t>
      </w:r>
    </w:p>
    <w:p>
      <w:pPr>
        <w:pStyle w:val="15"/>
        <w:keepNext w:val="0"/>
        <w:keepLines w:val="0"/>
        <w:pageBreakBefore w:val="0"/>
        <w:numPr>
          <w:ilvl w:val="1"/>
          <w:numId w:val="5"/>
        </w:numPr>
        <w:kinsoku/>
        <w:wordWrap/>
        <w:overflowPunct/>
        <w:topLinePunct w:val="0"/>
        <w:autoSpaceDE/>
        <w:autoSpaceDN/>
        <w:bidi w:val="0"/>
        <w:adjustRightInd/>
        <w:snapToGrid/>
        <w:spacing w:line="360" w:lineRule="auto"/>
        <w:ind w:left="0" w:firstLine="426" w:firstLineChars="0"/>
        <w:jc w:val="left"/>
        <w:textAlignment w:val="auto"/>
        <w:rPr>
          <w:rFonts w:hint="eastAsia" w:ascii="宋体" w:hAnsi="宋体" w:cs="宋体"/>
          <w:sz w:val="28"/>
          <w:szCs w:val="28"/>
        </w:rPr>
      </w:pPr>
      <w:r>
        <w:rPr>
          <w:rFonts w:hint="eastAsia" w:ascii="宋体" w:hAnsi="宋体" w:cs="宋体"/>
          <w:sz w:val="28"/>
          <w:szCs w:val="28"/>
        </w:rPr>
        <w:t>其他申办者认为某些重要安全性信息：需及时通知本临床试验伦理委员会作必要处置时，请务必先进行分析评估后，以正式书面文件，送交本临床试验伦理委员会。</w:t>
      </w:r>
    </w:p>
    <w:p>
      <w:pPr>
        <w:pStyle w:val="15"/>
        <w:keepNext w:val="0"/>
        <w:keepLines w:val="0"/>
        <w:pageBreakBefore w:val="0"/>
        <w:numPr>
          <w:ilvl w:val="1"/>
          <w:numId w:val="5"/>
        </w:numPr>
        <w:kinsoku/>
        <w:wordWrap/>
        <w:overflowPunct/>
        <w:topLinePunct w:val="0"/>
        <w:autoSpaceDE/>
        <w:autoSpaceDN/>
        <w:bidi w:val="0"/>
        <w:adjustRightInd/>
        <w:snapToGrid/>
        <w:spacing w:line="360" w:lineRule="auto"/>
        <w:ind w:left="0" w:leftChars="0" w:firstLine="426" w:firstLineChars="0"/>
        <w:jc w:val="left"/>
        <w:textAlignment w:val="auto"/>
        <w:rPr>
          <w:rFonts w:hint="eastAsia" w:ascii="宋体" w:hAnsi="宋体" w:cs="宋体"/>
          <w:sz w:val="28"/>
          <w:szCs w:val="28"/>
        </w:rPr>
      </w:pPr>
      <w:r>
        <w:rPr>
          <w:rFonts w:hint="eastAsia" w:ascii="宋体" w:hAnsi="宋体" w:cs="宋体"/>
          <w:color w:val="auto"/>
          <w:sz w:val="28"/>
          <w:szCs w:val="28"/>
        </w:rPr>
        <w:t>需提交的资料：严重不良事件报告表、</w:t>
      </w:r>
      <w:r>
        <w:rPr>
          <w:rFonts w:hint="default" w:ascii="Times New Roman" w:hAnsi="Times New Roman" w:cs="Times New Roman"/>
          <w:color w:val="auto"/>
          <w:sz w:val="28"/>
          <w:szCs w:val="28"/>
        </w:rPr>
        <w:t>SUSAR</w:t>
      </w:r>
      <w:r>
        <w:rPr>
          <w:rFonts w:hint="eastAsia" w:ascii="宋体" w:hAnsi="宋体" w:cs="宋体"/>
          <w:color w:val="auto"/>
          <w:sz w:val="28"/>
          <w:szCs w:val="28"/>
        </w:rPr>
        <w:t>报告表。</w:t>
      </w:r>
    </w:p>
    <w:p>
      <w:pPr>
        <w:keepNext w:val="0"/>
        <w:keepLines w:val="0"/>
        <w:pageBreakBefore w:val="0"/>
        <w:numPr>
          <w:ilvl w:val="0"/>
          <w:numId w:val="1"/>
        </w:numPr>
        <w:tabs>
          <w:tab w:val="left" w:pos="709"/>
        </w:tabs>
        <w:kinsoku/>
        <w:wordWrap/>
        <w:overflowPunct/>
        <w:topLinePunct w:val="0"/>
        <w:autoSpaceDE/>
        <w:autoSpaceDN/>
        <w:bidi w:val="0"/>
        <w:adjustRightInd/>
        <w:snapToGrid/>
        <w:spacing w:line="360" w:lineRule="auto"/>
        <w:textAlignment w:val="auto"/>
        <w:rPr>
          <w:rFonts w:hint="eastAsia" w:ascii="宋体" w:hAnsi="宋体" w:cs="宋体"/>
          <w:b/>
          <w:bCs/>
          <w:sz w:val="28"/>
          <w:szCs w:val="28"/>
        </w:rPr>
      </w:pPr>
      <w:r>
        <w:rPr>
          <w:rFonts w:hint="eastAsia" w:ascii="宋体" w:hAnsi="宋体" w:cs="宋体"/>
          <w:b/>
          <w:bCs/>
          <w:sz w:val="28"/>
          <w:szCs w:val="28"/>
        </w:rPr>
        <w:t>方案违背审查</w:t>
      </w:r>
    </w:p>
    <w:p>
      <w:pPr>
        <w:pStyle w:val="16"/>
        <w:keepNext w:val="0"/>
        <w:keepLines w:val="0"/>
        <w:pageBreakBefore w:val="0"/>
        <w:numPr>
          <w:ilvl w:val="0"/>
          <w:numId w:val="6"/>
        </w:numPr>
        <w:tabs>
          <w:tab w:val="left" w:pos="709"/>
        </w:tabs>
        <w:kinsoku/>
        <w:wordWrap/>
        <w:overflowPunct/>
        <w:topLinePunct w:val="0"/>
        <w:autoSpaceDE/>
        <w:autoSpaceDN/>
        <w:bidi w:val="0"/>
        <w:adjustRightInd/>
        <w:snapToGrid/>
        <w:spacing w:line="360" w:lineRule="auto"/>
        <w:textAlignment w:val="auto"/>
        <w:rPr>
          <w:rFonts w:hint="eastAsia" w:ascii="宋体" w:hAnsi="宋体" w:cs="宋体"/>
          <w:color w:val="000000"/>
          <w:sz w:val="28"/>
          <w:szCs w:val="28"/>
        </w:rPr>
      </w:pPr>
      <w:r>
        <w:rPr>
          <w:rFonts w:hint="eastAsia" w:ascii="宋体" w:hAnsi="宋体" w:cs="宋体"/>
          <w:color w:val="000000"/>
          <w:kern w:val="0"/>
          <w:sz w:val="28"/>
          <w:szCs w:val="28"/>
        </w:rPr>
        <w:t>方案偏离：以下方案偏离，主要研究者应定期（</w:t>
      </w:r>
      <w:r>
        <w:rPr>
          <w:rFonts w:hint="eastAsia" w:ascii="宋体" w:hAnsi="宋体" w:cs="宋体"/>
          <w:sz w:val="28"/>
          <w:szCs w:val="28"/>
        </w:rPr>
        <w:t>每</w:t>
      </w:r>
      <w:r>
        <w:rPr>
          <w:rFonts w:hint="default" w:ascii="Times New Roman" w:hAnsi="Times New Roman" w:cs="Times New Roman"/>
          <w:sz w:val="28"/>
          <w:szCs w:val="28"/>
        </w:rPr>
        <w:t>3</w:t>
      </w:r>
      <w:r>
        <w:rPr>
          <w:rFonts w:hint="eastAsia" w:ascii="宋体" w:hAnsi="宋体" w:cs="宋体"/>
          <w:sz w:val="28"/>
          <w:szCs w:val="28"/>
        </w:rPr>
        <w:t>个月一次</w:t>
      </w:r>
      <w:r>
        <w:rPr>
          <w:rFonts w:hint="eastAsia" w:ascii="宋体" w:hAnsi="宋体" w:cs="宋体"/>
          <w:color w:val="000000"/>
          <w:kern w:val="0"/>
          <w:sz w:val="28"/>
          <w:szCs w:val="28"/>
        </w:rPr>
        <w:t>）向</w:t>
      </w:r>
      <w:r>
        <w:rPr>
          <w:rFonts w:hint="eastAsia" w:ascii="宋体" w:hAnsi="宋体" w:cs="宋体"/>
          <w:color w:val="auto"/>
          <w:kern w:val="0"/>
          <w:sz w:val="28"/>
          <w:szCs w:val="28"/>
          <w:lang w:val="en-US" w:eastAsia="zh-CN"/>
        </w:rPr>
        <w:t>临床试验</w:t>
      </w:r>
      <w:r>
        <w:rPr>
          <w:rFonts w:hint="eastAsia" w:ascii="宋体" w:hAnsi="宋体" w:cs="宋体"/>
          <w:color w:val="auto"/>
          <w:kern w:val="0"/>
          <w:sz w:val="28"/>
          <w:szCs w:val="28"/>
        </w:rPr>
        <w:t>伦理</w:t>
      </w:r>
      <w:r>
        <w:rPr>
          <w:rFonts w:hint="eastAsia" w:ascii="宋体" w:hAnsi="宋体" w:cs="宋体"/>
          <w:color w:val="auto"/>
          <w:kern w:val="0"/>
          <w:sz w:val="28"/>
          <w:szCs w:val="28"/>
          <w:lang w:val="en-US" w:eastAsia="zh-CN"/>
        </w:rPr>
        <w:t>审查委员</w:t>
      </w:r>
      <w:r>
        <w:rPr>
          <w:rFonts w:hint="eastAsia" w:ascii="宋体" w:hAnsi="宋体" w:cs="宋体"/>
          <w:color w:val="auto"/>
          <w:kern w:val="0"/>
          <w:sz w:val="28"/>
          <w:szCs w:val="28"/>
        </w:rPr>
        <w:t>会</w:t>
      </w:r>
      <w:r>
        <w:rPr>
          <w:rFonts w:hint="eastAsia" w:ascii="宋体" w:hAnsi="宋体" w:cs="宋体"/>
          <w:color w:val="000000"/>
          <w:kern w:val="0"/>
          <w:sz w:val="28"/>
          <w:szCs w:val="28"/>
        </w:rPr>
        <w:t>递交报告。</w:t>
      </w:r>
    </w:p>
    <w:p>
      <w:pPr>
        <w:pStyle w:val="16"/>
        <w:keepNext w:val="0"/>
        <w:keepLines w:val="0"/>
        <w:pageBreakBefore w:val="0"/>
        <w:widowControl/>
        <w:numPr>
          <w:ilvl w:val="0"/>
          <w:numId w:val="0"/>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w:t>
      </w:r>
      <w:r>
        <w:rPr>
          <w:rFonts w:hint="eastAsia" w:ascii="宋体" w:hAnsi="宋体" w:cs="宋体"/>
          <w:color w:val="000000"/>
          <w:kern w:val="0"/>
          <w:sz w:val="28"/>
          <w:szCs w:val="28"/>
        </w:rPr>
        <w:t>访视/观察/检查时间超窗，但不影响受试者按方案继续使用研究药物，不增加受试者的风险，或不影响对主要疗效和关键的次要疗效指标评价的有效性。</w:t>
      </w:r>
    </w:p>
    <w:p>
      <w:pPr>
        <w:pStyle w:val="16"/>
        <w:keepNext w:val="0"/>
        <w:keepLines w:val="0"/>
        <w:pageBreakBefore w:val="0"/>
        <w:widowControl/>
        <w:numPr>
          <w:ilvl w:val="0"/>
          <w:numId w:val="0"/>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方案规定观察的数据点或实验室参数缺失而导致部分数据缺失，但不影响主要疗效或关键的次要疗效或安全性指标结果。</w:t>
      </w:r>
    </w:p>
    <w:p>
      <w:pPr>
        <w:pStyle w:val="16"/>
        <w:keepNext w:val="0"/>
        <w:keepLines w:val="0"/>
        <w:pageBreakBefore w:val="0"/>
        <w:widowControl/>
        <w:numPr>
          <w:ilvl w:val="0"/>
          <w:numId w:val="0"/>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观察/评价不全，但不影响主要或次要疗效或安全结果。</w:t>
      </w:r>
    </w:p>
    <w:p>
      <w:pPr>
        <w:pStyle w:val="16"/>
        <w:keepNext w:val="0"/>
        <w:keepLines w:val="0"/>
        <w:pageBreakBefore w:val="0"/>
        <w:numPr>
          <w:ilvl w:val="0"/>
          <w:numId w:val="0"/>
        </w:numPr>
        <w:tabs>
          <w:tab w:val="left" w:pos="709"/>
        </w:tabs>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 xml:space="preserve">2. </w:t>
      </w:r>
      <w:r>
        <w:rPr>
          <w:rFonts w:hint="eastAsia" w:ascii="宋体" w:hAnsi="宋体" w:cs="宋体"/>
          <w:color w:val="000000"/>
          <w:kern w:val="0"/>
          <w:sz w:val="28"/>
          <w:szCs w:val="28"/>
        </w:rPr>
        <w:t>方案违背：影响受试者安全与权益；影响受试者继续参加试验的意愿；影响数据质量与完整性。以下方案违背应及时向</w:t>
      </w:r>
      <w:r>
        <w:rPr>
          <w:rFonts w:hint="eastAsia" w:ascii="宋体" w:hAnsi="宋体" w:cs="宋体"/>
          <w:sz w:val="28"/>
          <w:szCs w:val="28"/>
        </w:rPr>
        <w:t>临床试验</w:t>
      </w:r>
      <w:r>
        <w:rPr>
          <w:rFonts w:hint="eastAsia" w:ascii="宋体" w:hAnsi="宋体" w:cs="宋体"/>
          <w:color w:val="000000"/>
          <w:kern w:val="0"/>
          <w:sz w:val="28"/>
          <w:szCs w:val="28"/>
        </w:rPr>
        <w:t>伦理委员会递交报告。</w:t>
      </w:r>
    </w:p>
    <w:p>
      <w:pPr>
        <w:pStyle w:val="16"/>
        <w:keepNext w:val="0"/>
        <w:keepLines w:val="0"/>
        <w:pageBreakBefore w:val="0"/>
        <w:widowControl/>
        <w:numPr>
          <w:ilvl w:val="0"/>
          <w:numId w:val="0"/>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w:t>
      </w:r>
      <w:r>
        <w:rPr>
          <w:rFonts w:hint="eastAsia" w:ascii="宋体" w:hAnsi="宋体" w:cs="宋体"/>
          <w:color w:val="000000"/>
          <w:kern w:val="0"/>
          <w:sz w:val="28"/>
          <w:szCs w:val="28"/>
        </w:rPr>
        <w:t>受试者误纳入：不符合任一条纳入标准，或符合任一条排除标准但被纳入试验。</w:t>
      </w:r>
    </w:p>
    <w:p>
      <w:pPr>
        <w:pStyle w:val="16"/>
        <w:keepNext w:val="0"/>
        <w:keepLines w:val="0"/>
        <w:pageBreakBefore w:val="0"/>
        <w:widowControl/>
        <w:numPr>
          <w:ilvl w:val="0"/>
          <w:numId w:val="0"/>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受试者在试验过程中发生了符合中止试验标准的情况，但没有退出试验。</w:t>
      </w:r>
    </w:p>
    <w:p>
      <w:pPr>
        <w:pStyle w:val="16"/>
        <w:keepNext w:val="0"/>
        <w:keepLines w:val="0"/>
        <w:pageBreakBefore w:val="0"/>
        <w:widowControl/>
        <w:numPr>
          <w:ilvl w:val="0"/>
          <w:numId w:val="0"/>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未能按照方案要求进行安全性指标、主要疗效指标或关键的次要疗效指标的检查，从而对研究的科学性产生影响。</w:t>
      </w:r>
    </w:p>
    <w:p>
      <w:pPr>
        <w:pStyle w:val="16"/>
        <w:keepNext w:val="0"/>
        <w:keepLines w:val="0"/>
        <w:pageBreakBefore w:val="0"/>
        <w:widowControl/>
        <w:numPr>
          <w:ilvl w:val="0"/>
          <w:numId w:val="0"/>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受试者接受了不正确的治疗或剂量，给予方案禁止的合并用药，影响受试者安全或统计分析的程度。</w:t>
      </w:r>
    </w:p>
    <w:p>
      <w:pPr>
        <w:pStyle w:val="16"/>
        <w:keepNext w:val="0"/>
        <w:keepLines w:val="0"/>
        <w:pageBreakBefore w:val="0"/>
        <w:widowControl/>
        <w:numPr>
          <w:ilvl w:val="0"/>
          <w:numId w:val="0"/>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5）</w:t>
      </w:r>
      <w:r>
        <w:rPr>
          <w:rFonts w:hint="eastAsia" w:ascii="宋体" w:hAnsi="宋体" w:cs="宋体"/>
          <w:color w:val="000000"/>
          <w:kern w:val="0"/>
          <w:sz w:val="28"/>
          <w:szCs w:val="28"/>
        </w:rPr>
        <w:t>持续违背方案，或研究者不配合监查、稽查，或对违规事件不予以纠正。</w:t>
      </w:r>
    </w:p>
    <w:p>
      <w:pPr>
        <w:pStyle w:val="16"/>
        <w:keepNext w:val="0"/>
        <w:keepLines w:val="0"/>
        <w:pageBreakBefore w:val="0"/>
        <w:widowControl/>
        <w:numPr>
          <w:ilvl w:val="0"/>
          <w:numId w:val="0"/>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6)</w:t>
      </w:r>
      <w:r>
        <w:rPr>
          <w:rFonts w:hint="eastAsia" w:ascii="宋体" w:hAnsi="宋体" w:cs="宋体"/>
          <w:color w:val="000000"/>
          <w:kern w:val="0"/>
          <w:sz w:val="28"/>
          <w:szCs w:val="28"/>
        </w:rPr>
        <w:t>在试验实施中发生的其他严重违反</w:t>
      </w:r>
      <w:r>
        <w:rPr>
          <w:rFonts w:hint="default" w:ascii="Times New Roman" w:hAnsi="Times New Roman" w:cs="Times New Roman"/>
          <w:color w:val="000000"/>
          <w:kern w:val="0"/>
          <w:sz w:val="28"/>
          <w:szCs w:val="28"/>
        </w:rPr>
        <w:t>GCP</w:t>
      </w:r>
      <w:r>
        <w:rPr>
          <w:rFonts w:hint="eastAsia" w:ascii="宋体" w:hAnsi="宋体" w:cs="宋体"/>
          <w:color w:val="000000"/>
          <w:kern w:val="0"/>
          <w:sz w:val="28"/>
          <w:szCs w:val="28"/>
        </w:rPr>
        <w:t>原则的情况。</w:t>
      </w:r>
    </w:p>
    <w:p>
      <w:pPr>
        <w:pStyle w:val="16"/>
        <w:keepNext w:val="0"/>
        <w:keepLines w:val="0"/>
        <w:pageBreakBefore w:val="0"/>
        <w:numPr>
          <w:ilvl w:val="0"/>
          <w:numId w:val="0"/>
        </w:numPr>
        <w:tabs>
          <w:tab w:val="left" w:pos="709"/>
        </w:tabs>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 xml:space="preserve">3. </w:t>
      </w:r>
      <w:r>
        <w:rPr>
          <w:rFonts w:hint="eastAsia" w:ascii="宋体" w:hAnsi="宋体" w:cs="宋体"/>
          <w:color w:val="000000"/>
          <w:kern w:val="0"/>
          <w:sz w:val="28"/>
          <w:szCs w:val="28"/>
        </w:rPr>
        <w:t>需提交的资料：</w:t>
      </w:r>
      <w:r>
        <w:rPr>
          <w:rFonts w:hint="eastAsia" w:ascii="宋体" w:hAnsi="宋体" w:cs="宋体"/>
          <w:strike w:val="0"/>
          <w:dstrike w:val="0"/>
          <w:color w:val="auto"/>
          <w:kern w:val="0"/>
          <w:sz w:val="28"/>
          <w:szCs w:val="28"/>
          <w:highlight w:val="none"/>
          <w:lang w:val="en-US" w:eastAsia="zh-CN"/>
        </w:rPr>
        <w:t>偏离/违背方案</w:t>
      </w:r>
      <w:r>
        <w:rPr>
          <w:rFonts w:hint="eastAsia" w:ascii="宋体" w:hAnsi="宋体" w:cs="宋体"/>
          <w:color w:val="auto"/>
          <w:kern w:val="0"/>
          <w:sz w:val="28"/>
          <w:szCs w:val="28"/>
        </w:rPr>
        <w:t>报告</w:t>
      </w:r>
      <w:r>
        <w:rPr>
          <w:rFonts w:hint="eastAsia" w:ascii="宋体" w:hAnsi="宋体" w:cs="宋体"/>
          <w:color w:val="000000"/>
          <w:kern w:val="0"/>
          <w:sz w:val="28"/>
          <w:szCs w:val="28"/>
        </w:rPr>
        <w:t>。</w:t>
      </w:r>
    </w:p>
    <w:p>
      <w:pPr>
        <w:pStyle w:val="16"/>
        <w:keepNext w:val="0"/>
        <w:keepLines w:val="0"/>
        <w:pageBreakBefore w:val="0"/>
        <w:numPr>
          <w:ilvl w:val="0"/>
          <w:numId w:val="0"/>
        </w:numPr>
        <w:tabs>
          <w:tab w:val="left" w:pos="709"/>
        </w:tabs>
        <w:kinsoku/>
        <w:wordWrap/>
        <w:overflowPunct/>
        <w:topLinePunct w:val="0"/>
        <w:autoSpaceDE/>
        <w:autoSpaceDN/>
        <w:bidi w:val="0"/>
        <w:adjustRightInd/>
        <w:snapToGrid/>
        <w:spacing w:line="360" w:lineRule="auto"/>
        <w:ind w:left="426" w:leftChars="0"/>
        <w:textAlignment w:val="auto"/>
        <w:rPr>
          <w:rFonts w:hint="eastAsia" w:ascii="宋体" w:hAnsi="宋体" w:cs="宋体"/>
          <w:color w:val="000000"/>
          <w:kern w:val="0"/>
          <w:sz w:val="28"/>
          <w:szCs w:val="28"/>
        </w:rPr>
      </w:pPr>
    </w:p>
    <w:p>
      <w:pPr>
        <w:keepNext w:val="0"/>
        <w:keepLines w:val="0"/>
        <w:pageBreakBefore w:val="0"/>
        <w:numPr>
          <w:ilvl w:val="0"/>
          <w:numId w:val="1"/>
        </w:numPr>
        <w:tabs>
          <w:tab w:val="left" w:pos="709"/>
        </w:tabs>
        <w:kinsoku/>
        <w:wordWrap/>
        <w:overflowPunct/>
        <w:topLinePunct w:val="0"/>
        <w:autoSpaceDE/>
        <w:autoSpaceDN/>
        <w:bidi w:val="0"/>
        <w:adjustRightInd/>
        <w:snapToGrid/>
        <w:spacing w:line="360" w:lineRule="auto"/>
        <w:textAlignment w:val="auto"/>
        <w:rPr>
          <w:rFonts w:hint="eastAsia" w:ascii="宋体" w:hAnsi="宋体" w:cs="宋体"/>
          <w:b/>
          <w:bCs/>
          <w:sz w:val="28"/>
          <w:szCs w:val="28"/>
        </w:rPr>
      </w:pPr>
      <w:r>
        <w:rPr>
          <w:rFonts w:hint="eastAsia" w:ascii="宋体" w:hAnsi="宋体" w:cs="宋体"/>
          <w:b/>
          <w:bCs/>
          <w:sz w:val="28"/>
          <w:szCs w:val="28"/>
        </w:rPr>
        <w:t>暂停/终止研究审查</w:t>
      </w:r>
    </w:p>
    <w:p>
      <w:pPr>
        <w:pStyle w:val="16"/>
        <w:keepNext w:val="0"/>
        <w:keepLines w:val="0"/>
        <w:pageBreakBefore w:val="0"/>
        <w:numPr>
          <w:ilvl w:val="0"/>
          <w:numId w:val="7"/>
        </w:numPr>
        <w:tabs>
          <w:tab w:val="left" w:pos="709"/>
        </w:tabs>
        <w:kinsoku/>
        <w:wordWrap/>
        <w:overflowPunct/>
        <w:topLinePunct w:val="0"/>
        <w:autoSpaceDE/>
        <w:autoSpaceDN/>
        <w:bidi w:val="0"/>
        <w:adjustRightInd/>
        <w:snapToGrid/>
        <w:spacing w:line="360" w:lineRule="auto"/>
        <w:ind w:firstLine="560"/>
        <w:textAlignment w:val="auto"/>
        <w:rPr>
          <w:rFonts w:hint="eastAsia" w:ascii="宋体" w:hAnsi="宋体" w:cs="宋体"/>
          <w:color w:val="000000"/>
          <w:kern w:val="0"/>
          <w:sz w:val="28"/>
          <w:szCs w:val="28"/>
        </w:rPr>
      </w:pPr>
      <w:r>
        <w:rPr>
          <w:rFonts w:hint="eastAsia" w:ascii="宋体" w:hAnsi="宋体" w:cs="宋体"/>
          <w:color w:val="000000"/>
          <w:kern w:val="0"/>
          <w:sz w:val="28"/>
          <w:szCs w:val="28"/>
        </w:rPr>
        <w:t>主要研究者/申办者暂停或提前终止临床研究，应向</w:t>
      </w:r>
      <w:r>
        <w:rPr>
          <w:rFonts w:hint="eastAsia" w:ascii="宋体" w:hAnsi="宋体" w:cs="宋体"/>
          <w:sz w:val="28"/>
          <w:szCs w:val="28"/>
        </w:rPr>
        <w:t>临床试验</w:t>
      </w:r>
      <w:r>
        <w:rPr>
          <w:rFonts w:hint="eastAsia" w:ascii="宋体" w:hAnsi="宋体" w:cs="宋体"/>
          <w:color w:val="000000"/>
          <w:kern w:val="0"/>
          <w:sz w:val="28"/>
          <w:szCs w:val="28"/>
        </w:rPr>
        <w:t>伦理委员会递交暂停</w:t>
      </w: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rPr>
        <w:t>终止临床试验申请。</w:t>
      </w:r>
    </w:p>
    <w:p>
      <w:pPr>
        <w:pStyle w:val="16"/>
        <w:keepNext w:val="0"/>
        <w:keepLines w:val="0"/>
        <w:pageBreakBefore w:val="0"/>
        <w:numPr>
          <w:ilvl w:val="0"/>
          <w:numId w:val="7"/>
        </w:numPr>
        <w:tabs>
          <w:tab w:val="left" w:pos="709"/>
        </w:tabs>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cs="宋体"/>
          <w:color w:val="000000"/>
          <w:kern w:val="0"/>
          <w:sz w:val="28"/>
          <w:szCs w:val="28"/>
        </w:rPr>
      </w:pPr>
      <w:r>
        <w:rPr>
          <w:rFonts w:hint="eastAsia" w:ascii="宋体" w:hAnsi="宋体" w:cs="宋体"/>
          <w:color w:val="000000"/>
          <w:kern w:val="0"/>
          <w:sz w:val="28"/>
          <w:szCs w:val="28"/>
        </w:rPr>
        <w:t>需提交的资料：暂停</w:t>
      </w:r>
      <w:r>
        <w:rPr>
          <w:rFonts w:hint="eastAsia" w:ascii="宋体" w:hAnsi="宋体" w:cs="宋体"/>
          <w:strike w:val="0"/>
          <w:dstrike w:val="0"/>
          <w:color w:val="auto"/>
          <w:kern w:val="0"/>
          <w:sz w:val="28"/>
          <w:szCs w:val="28"/>
          <w:highlight w:val="none"/>
          <w:lang w:val="en-US" w:eastAsia="zh-CN"/>
        </w:rPr>
        <w:t>/</w:t>
      </w:r>
      <w:r>
        <w:rPr>
          <w:rFonts w:hint="eastAsia" w:ascii="宋体" w:hAnsi="宋体" w:cs="宋体"/>
          <w:color w:val="auto"/>
          <w:kern w:val="0"/>
          <w:sz w:val="28"/>
          <w:szCs w:val="28"/>
        </w:rPr>
        <w:t>终</w:t>
      </w:r>
      <w:r>
        <w:rPr>
          <w:rFonts w:hint="eastAsia" w:ascii="宋体" w:hAnsi="宋体" w:cs="宋体"/>
          <w:color w:val="000000"/>
          <w:kern w:val="0"/>
          <w:sz w:val="28"/>
          <w:szCs w:val="28"/>
        </w:rPr>
        <w:t>止研究报告。</w:t>
      </w:r>
    </w:p>
    <w:p>
      <w:pPr>
        <w:keepNext w:val="0"/>
        <w:keepLines w:val="0"/>
        <w:pageBreakBefore w:val="0"/>
        <w:numPr>
          <w:ilvl w:val="0"/>
          <w:numId w:val="1"/>
        </w:numPr>
        <w:tabs>
          <w:tab w:val="left" w:pos="709"/>
        </w:tabs>
        <w:kinsoku/>
        <w:wordWrap/>
        <w:overflowPunct/>
        <w:topLinePunct w:val="0"/>
        <w:autoSpaceDE/>
        <w:autoSpaceDN/>
        <w:bidi w:val="0"/>
        <w:adjustRightInd/>
        <w:snapToGrid/>
        <w:spacing w:line="360" w:lineRule="auto"/>
        <w:textAlignment w:val="auto"/>
        <w:rPr>
          <w:rFonts w:hint="eastAsia" w:ascii="宋体" w:hAnsi="宋体" w:cs="宋体"/>
          <w:color w:val="000000"/>
          <w:kern w:val="0"/>
          <w:sz w:val="28"/>
          <w:szCs w:val="28"/>
        </w:rPr>
      </w:pPr>
      <w:r>
        <w:rPr>
          <w:rFonts w:hint="eastAsia" w:ascii="宋体" w:hAnsi="宋体" w:cs="宋体"/>
          <w:b/>
          <w:bCs/>
          <w:sz w:val="28"/>
          <w:szCs w:val="28"/>
        </w:rPr>
        <w:t>结题审查</w:t>
      </w:r>
    </w:p>
    <w:p>
      <w:pPr>
        <w:keepNext w:val="0"/>
        <w:keepLines w:val="0"/>
        <w:pageBreakBefore w:val="0"/>
        <w:numPr>
          <w:ilvl w:val="0"/>
          <w:numId w:val="8"/>
        </w:numPr>
        <w:tabs>
          <w:tab w:val="left" w:pos="709"/>
        </w:tabs>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000000"/>
          <w:kern w:val="0"/>
          <w:sz w:val="28"/>
          <w:szCs w:val="28"/>
        </w:rPr>
      </w:pPr>
      <w:r>
        <w:rPr>
          <w:rFonts w:hint="eastAsia" w:ascii="宋体" w:hAnsi="宋体" w:cs="宋体"/>
          <w:color w:val="000000"/>
          <w:kern w:val="0"/>
          <w:sz w:val="28"/>
          <w:szCs w:val="28"/>
        </w:rPr>
        <w:t>临床试验完成后，主要研究者/申办方可以向</w:t>
      </w:r>
      <w:r>
        <w:rPr>
          <w:rFonts w:hint="eastAsia" w:ascii="宋体" w:hAnsi="宋体" w:cs="宋体"/>
          <w:sz w:val="28"/>
          <w:szCs w:val="28"/>
        </w:rPr>
        <w:t>临床试验</w:t>
      </w:r>
      <w:r>
        <w:rPr>
          <w:rFonts w:hint="eastAsia" w:ascii="宋体" w:hAnsi="宋体" w:cs="宋体"/>
          <w:color w:val="000000"/>
          <w:kern w:val="0"/>
          <w:sz w:val="28"/>
          <w:szCs w:val="28"/>
        </w:rPr>
        <w:t>伦理委员会提交结题申请。</w:t>
      </w:r>
    </w:p>
    <w:p>
      <w:pPr>
        <w:pStyle w:val="16"/>
        <w:keepNext w:val="0"/>
        <w:keepLines w:val="0"/>
        <w:pageBreakBefore w:val="0"/>
        <w:numPr>
          <w:ilvl w:val="0"/>
          <w:numId w:val="8"/>
        </w:numPr>
        <w:tabs>
          <w:tab w:val="left" w:pos="709"/>
        </w:tabs>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cs="宋体"/>
          <w:color w:val="000000"/>
          <w:kern w:val="0"/>
          <w:sz w:val="28"/>
          <w:szCs w:val="28"/>
        </w:rPr>
      </w:pPr>
      <w:r>
        <w:rPr>
          <w:rFonts w:hint="eastAsia" w:ascii="宋体" w:hAnsi="宋体" w:cs="宋体"/>
          <w:color w:val="000000"/>
          <w:kern w:val="0"/>
          <w:sz w:val="28"/>
          <w:szCs w:val="28"/>
        </w:rPr>
        <w:t>需提交的资料：临床</w:t>
      </w:r>
      <w:r>
        <w:rPr>
          <w:rFonts w:hint="eastAsia" w:ascii="宋体" w:hAnsi="宋体" w:cs="宋体"/>
          <w:color w:val="auto"/>
          <w:kern w:val="0"/>
          <w:sz w:val="28"/>
          <w:szCs w:val="28"/>
          <w:lang w:val="en-US" w:eastAsia="zh-CN"/>
        </w:rPr>
        <w:t>研究</w:t>
      </w:r>
      <w:r>
        <w:rPr>
          <w:rFonts w:hint="eastAsia" w:ascii="宋体" w:hAnsi="宋体" w:cs="宋体"/>
          <w:color w:val="000000"/>
          <w:kern w:val="0"/>
          <w:sz w:val="28"/>
          <w:szCs w:val="28"/>
        </w:rPr>
        <w:t>结题报告。</w:t>
      </w:r>
    </w:p>
    <w:p>
      <w:pPr>
        <w:keepNext w:val="0"/>
        <w:keepLines w:val="0"/>
        <w:pageBreakBefore w:val="0"/>
        <w:numPr>
          <w:ilvl w:val="0"/>
          <w:numId w:val="1"/>
        </w:numPr>
        <w:tabs>
          <w:tab w:val="left" w:pos="709"/>
        </w:tabs>
        <w:kinsoku/>
        <w:wordWrap/>
        <w:overflowPunct/>
        <w:topLinePunct w:val="0"/>
        <w:autoSpaceDE/>
        <w:autoSpaceDN/>
        <w:bidi w:val="0"/>
        <w:adjustRightInd/>
        <w:snapToGrid/>
        <w:spacing w:line="360" w:lineRule="auto"/>
        <w:textAlignment w:val="auto"/>
        <w:rPr>
          <w:rFonts w:hint="eastAsia" w:ascii="宋体" w:hAnsi="宋体" w:cs="宋体"/>
          <w:b/>
          <w:bCs/>
          <w:sz w:val="28"/>
          <w:szCs w:val="28"/>
        </w:rPr>
      </w:pPr>
      <w:r>
        <w:rPr>
          <w:rFonts w:hint="eastAsia" w:ascii="宋体" w:hAnsi="宋体" w:cs="宋体"/>
          <w:b/>
          <w:bCs/>
          <w:sz w:val="28"/>
          <w:szCs w:val="28"/>
        </w:rPr>
        <w:t>复审审查/伦理审查不同意见沟通</w:t>
      </w:r>
    </w:p>
    <w:p>
      <w:pPr>
        <w:keepNext w:val="0"/>
        <w:keepLines w:val="0"/>
        <w:pageBreakBefore w:val="0"/>
        <w:numPr>
          <w:ilvl w:val="0"/>
          <w:numId w:val="9"/>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申办方或研究者按照</w:t>
      </w:r>
      <w:r>
        <w:rPr>
          <w:rFonts w:hint="eastAsia" w:ascii="宋体" w:hAnsi="宋体" w:cs="宋体"/>
          <w:sz w:val="28"/>
          <w:szCs w:val="28"/>
          <w:lang w:val="en-US" w:eastAsia="zh-CN"/>
        </w:rPr>
        <w:t>临床试验</w:t>
      </w:r>
      <w:r>
        <w:rPr>
          <w:rFonts w:hint="eastAsia" w:ascii="宋体" w:hAnsi="宋体" w:cs="宋体"/>
          <w:sz w:val="28"/>
          <w:szCs w:val="28"/>
        </w:rPr>
        <w:t>伦理审查委员会的意见修改后再次提交的材料，临床试验伦理委员会对其进行的审查程序；或</w:t>
      </w:r>
      <w:r>
        <w:rPr>
          <w:rFonts w:hint="eastAsia" w:ascii="宋体" w:hAnsi="宋体" w:cs="宋体"/>
          <w:color w:val="000000"/>
          <w:kern w:val="0"/>
          <w:sz w:val="28"/>
          <w:szCs w:val="28"/>
        </w:rPr>
        <w:t>主要研究者/申办方对伦理审查意见有异议，</w:t>
      </w:r>
      <w:r>
        <w:rPr>
          <w:rFonts w:hint="eastAsia" w:ascii="宋体" w:hAnsi="宋体" w:cs="宋体"/>
          <w:sz w:val="28"/>
          <w:szCs w:val="28"/>
        </w:rPr>
        <w:t>临床试验</w:t>
      </w:r>
      <w:r>
        <w:rPr>
          <w:rFonts w:hint="eastAsia" w:ascii="宋体" w:hAnsi="宋体" w:cs="宋体"/>
          <w:color w:val="000000"/>
          <w:kern w:val="0"/>
          <w:sz w:val="28"/>
          <w:szCs w:val="28"/>
        </w:rPr>
        <w:t>伦理委员会对其所提出的异议及其理由或澄清说明进行的审查程序。</w:t>
      </w:r>
    </w:p>
    <w:p>
      <w:pPr>
        <w:pStyle w:val="16"/>
        <w:keepNext w:val="0"/>
        <w:keepLines w:val="0"/>
        <w:pageBreakBefore w:val="0"/>
        <w:numPr>
          <w:ilvl w:val="0"/>
          <w:numId w:val="9"/>
        </w:numPr>
        <w:tabs>
          <w:tab w:val="left" w:pos="709"/>
        </w:tabs>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cs="宋体"/>
          <w:color w:val="000000"/>
          <w:kern w:val="0"/>
          <w:sz w:val="28"/>
          <w:szCs w:val="28"/>
        </w:rPr>
      </w:pPr>
      <w:r>
        <w:rPr>
          <w:rFonts w:hint="eastAsia" w:ascii="宋体" w:hAnsi="宋体" w:cs="宋体"/>
          <w:color w:val="000000"/>
          <w:kern w:val="0"/>
          <w:sz w:val="28"/>
          <w:szCs w:val="28"/>
        </w:rPr>
        <w:t>需提交的资料：复审</w:t>
      </w:r>
      <w:r>
        <w:rPr>
          <w:rFonts w:hint="eastAsia" w:ascii="宋体" w:hAnsi="宋体" w:cs="宋体"/>
          <w:color w:val="auto"/>
          <w:kern w:val="0"/>
          <w:sz w:val="28"/>
          <w:szCs w:val="28"/>
          <w:lang w:val="en-US" w:eastAsia="zh-CN"/>
        </w:rPr>
        <w:t>审查</w:t>
      </w:r>
      <w:r>
        <w:rPr>
          <w:rFonts w:hint="eastAsia" w:ascii="宋体" w:hAnsi="宋体" w:cs="宋体"/>
          <w:color w:val="auto"/>
          <w:kern w:val="0"/>
          <w:sz w:val="28"/>
          <w:szCs w:val="28"/>
        </w:rPr>
        <w:t>申</w:t>
      </w:r>
      <w:r>
        <w:rPr>
          <w:rFonts w:hint="eastAsia" w:ascii="宋体" w:hAnsi="宋体" w:cs="宋体"/>
          <w:color w:val="000000"/>
          <w:kern w:val="0"/>
          <w:sz w:val="28"/>
          <w:szCs w:val="28"/>
        </w:rPr>
        <w:t>请表，附补充说明资料。</w:t>
      </w:r>
    </w:p>
    <w:p>
      <w:pPr>
        <w:keepNext w:val="0"/>
        <w:keepLines w:val="0"/>
        <w:pageBreakBefore w:val="0"/>
        <w:numPr>
          <w:ilvl w:val="0"/>
          <w:numId w:val="1"/>
        </w:numPr>
        <w:tabs>
          <w:tab w:val="left" w:pos="709"/>
        </w:tabs>
        <w:kinsoku/>
        <w:wordWrap/>
        <w:overflowPunct/>
        <w:topLinePunct w:val="0"/>
        <w:autoSpaceDE/>
        <w:autoSpaceDN/>
        <w:bidi w:val="0"/>
        <w:adjustRightInd/>
        <w:snapToGrid/>
        <w:spacing w:line="360" w:lineRule="auto"/>
        <w:textAlignment w:val="auto"/>
        <w:rPr>
          <w:rFonts w:hint="eastAsia" w:ascii="宋体" w:hAnsi="宋体" w:cs="宋体"/>
          <w:b/>
          <w:bCs/>
          <w:color w:val="FF0000"/>
          <w:sz w:val="28"/>
          <w:szCs w:val="28"/>
        </w:rPr>
      </w:pPr>
      <w:r>
        <w:rPr>
          <w:rFonts w:hint="eastAsia" w:ascii="宋体" w:hAnsi="宋体" w:cs="宋体"/>
          <w:b/>
          <w:bCs/>
          <w:sz w:val="28"/>
          <w:szCs w:val="28"/>
        </w:rPr>
        <w:t>提交伦理审查的流程</w:t>
      </w:r>
    </w:p>
    <w:p>
      <w:pPr>
        <w:pStyle w:val="15"/>
        <w:keepNext w:val="0"/>
        <w:keepLines w:val="0"/>
        <w:pageBreakBefore w:val="0"/>
        <w:numPr>
          <w:ilvl w:val="1"/>
          <w:numId w:val="10"/>
        </w:numPr>
        <w:kinsoku/>
        <w:wordWrap/>
        <w:overflowPunct/>
        <w:topLinePunct w:val="0"/>
        <w:autoSpaceDE/>
        <w:autoSpaceDN/>
        <w:bidi w:val="0"/>
        <w:adjustRightInd/>
        <w:snapToGrid/>
        <w:spacing w:line="360" w:lineRule="auto"/>
        <w:ind w:left="0" w:firstLine="565" w:firstLineChars="202"/>
        <w:textAlignment w:val="auto"/>
        <w:rPr>
          <w:rFonts w:hint="eastAsia" w:ascii="宋体" w:hAnsi="宋体" w:cs="宋体"/>
          <w:sz w:val="28"/>
          <w:szCs w:val="28"/>
        </w:rPr>
      </w:pPr>
      <w:r>
        <w:rPr>
          <w:rFonts w:hint="eastAsia" w:ascii="宋体" w:hAnsi="宋体" w:cs="宋体"/>
          <w:sz w:val="28"/>
          <w:szCs w:val="28"/>
        </w:rPr>
        <w:t>提交送审文件：送审文件的完整性和要素通过形式审查，办公室秘书给予《项目</w:t>
      </w:r>
      <w:r>
        <w:rPr>
          <w:rFonts w:hint="eastAsia" w:ascii="宋体" w:hAnsi="宋体" w:cs="宋体"/>
          <w:color w:val="auto"/>
          <w:sz w:val="28"/>
          <w:szCs w:val="28"/>
          <w:lang w:val="en-US" w:eastAsia="zh-CN"/>
        </w:rPr>
        <w:t>资料</w:t>
      </w:r>
      <w:r>
        <w:rPr>
          <w:rFonts w:hint="eastAsia" w:ascii="宋体" w:hAnsi="宋体" w:cs="宋体"/>
          <w:sz w:val="28"/>
          <w:szCs w:val="28"/>
        </w:rPr>
        <w:t>受理回执》，告知预定审查日期。临床试验伦理委员会办公室受理送审文件后，需要</w:t>
      </w:r>
      <w:r>
        <w:rPr>
          <w:rFonts w:hint="default" w:ascii="Times New Roman" w:hAnsi="Times New Roman" w:cs="Times New Roman"/>
          <w:sz w:val="28"/>
          <w:szCs w:val="28"/>
        </w:rPr>
        <w:t>1</w:t>
      </w:r>
      <w:r>
        <w:rPr>
          <w:rFonts w:hint="eastAsia" w:ascii="宋体" w:hAnsi="宋体" w:cs="宋体"/>
          <w:sz w:val="28"/>
          <w:szCs w:val="28"/>
        </w:rPr>
        <w:t>周的时间进行处理，请在会议审查</w:t>
      </w:r>
      <w:r>
        <w:rPr>
          <w:rFonts w:hint="default" w:ascii="Times New Roman" w:hAnsi="Times New Roman" w:cs="Times New Roman"/>
          <w:sz w:val="28"/>
          <w:szCs w:val="28"/>
        </w:rPr>
        <w:t>l</w:t>
      </w:r>
      <w:r>
        <w:rPr>
          <w:rFonts w:hint="eastAsia" w:ascii="宋体" w:hAnsi="宋体" w:cs="宋体"/>
          <w:sz w:val="28"/>
          <w:szCs w:val="28"/>
        </w:rPr>
        <w:t xml:space="preserve">周前提交送审文件。                                                                      </w:t>
      </w:r>
    </w:p>
    <w:p>
      <w:pPr>
        <w:pStyle w:val="15"/>
        <w:keepNext w:val="0"/>
        <w:keepLines w:val="0"/>
        <w:pageBreakBefore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伦理审查的时间：临床试验伦理委员会对受理的申报项目在</w:t>
      </w:r>
      <w:r>
        <w:rPr>
          <w:rFonts w:hint="default" w:ascii="Times New Roman" w:hAnsi="Times New Roman" w:cs="Times New Roman"/>
          <w:sz w:val="28"/>
          <w:szCs w:val="28"/>
        </w:rPr>
        <w:t>30</w:t>
      </w:r>
      <w:r>
        <w:rPr>
          <w:rFonts w:hint="eastAsia" w:ascii="宋体" w:hAnsi="宋体" w:cs="宋体"/>
          <w:sz w:val="28"/>
          <w:szCs w:val="28"/>
        </w:rPr>
        <w:t>天内开展伦理审查，提供审查意见，必要时可以增加审查会议次数。研究过程中出现重大或严重问题，危及受试者安全时，或发生其它需要临床试验伦理委员会召开会议进行紧急审查和决定的情况，临床试验伦理委员会将召开紧急会议进行审查。</w:t>
      </w:r>
    </w:p>
    <w:p>
      <w:pPr>
        <w:pStyle w:val="15"/>
        <w:keepNext w:val="0"/>
        <w:keepLines w:val="0"/>
        <w:pageBreakBefore w:val="0"/>
        <w:numPr>
          <w:ilvl w:val="1"/>
          <w:numId w:val="10"/>
        </w:numPr>
        <w:kinsoku/>
        <w:wordWrap/>
        <w:overflowPunct/>
        <w:topLinePunct w:val="0"/>
        <w:autoSpaceDE/>
        <w:autoSpaceDN/>
        <w:bidi w:val="0"/>
        <w:adjustRightInd/>
        <w:snapToGrid/>
        <w:spacing w:line="360" w:lineRule="auto"/>
        <w:ind w:left="0" w:firstLine="565" w:firstLineChars="202"/>
        <w:jc w:val="left"/>
        <w:textAlignment w:val="auto"/>
        <w:rPr>
          <w:rFonts w:hint="eastAsia" w:ascii="宋体" w:hAnsi="宋体" w:cs="宋体"/>
          <w:sz w:val="28"/>
          <w:szCs w:val="28"/>
        </w:rPr>
      </w:pPr>
      <w:r>
        <w:rPr>
          <w:rFonts w:hint="eastAsia" w:ascii="宋体" w:hAnsi="宋体" w:cs="宋体"/>
          <w:sz w:val="28"/>
          <w:szCs w:val="28"/>
        </w:rPr>
        <w:t>伦理审查决定的传达：临床试验伦理委员会在做出伦理审查决定后</w:t>
      </w:r>
      <w:r>
        <w:rPr>
          <w:rFonts w:hint="default" w:ascii="Times New Roman" w:hAnsi="Times New Roman" w:cs="Times New Roman"/>
          <w:sz w:val="28"/>
          <w:szCs w:val="28"/>
        </w:rPr>
        <w:t>5</w:t>
      </w:r>
      <w:r>
        <w:rPr>
          <w:rFonts w:hint="eastAsia" w:ascii="宋体" w:hAnsi="宋体" w:cs="宋体"/>
          <w:sz w:val="28"/>
          <w:szCs w:val="28"/>
        </w:rPr>
        <w:t>个工作日内，以“伦理审查批件”或“伦理审查意见”的书面方式传达审查决定。</w:t>
      </w:r>
    </w:p>
    <w:p>
      <w:pPr>
        <w:keepNext w:val="0"/>
        <w:keepLines w:val="0"/>
        <w:pageBreakBefore w:val="0"/>
        <w:numPr>
          <w:ilvl w:val="0"/>
          <w:numId w:val="11"/>
        </w:numPr>
        <w:tabs>
          <w:tab w:val="left" w:pos="709"/>
        </w:tabs>
        <w:kinsoku/>
        <w:wordWrap/>
        <w:overflowPunct/>
        <w:topLinePunct w:val="0"/>
        <w:autoSpaceDE/>
        <w:autoSpaceDN/>
        <w:bidi w:val="0"/>
        <w:adjustRightInd/>
        <w:snapToGrid/>
        <w:spacing w:line="360" w:lineRule="auto"/>
        <w:ind w:leftChars="0"/>
        <w:textAlignment w:val="auto"/>
        <w:rPr>
          <w:rFonts w:hint="eastAsia" w:ascii="宋体" w:hAnsi="宋体" w:cs="宋体"/>
          <w:b/>
          <w:bCs/>
          <w:sz w:val="28"/>
          <w:szCs w:val="28"/>
        </w:rPr>
      </w:pPr>
      <w:r>
        <w:rPr>
          <w:rFonts w:hint="eastAsia" w:ascii="宋体" w:hAnsi="宋体" w:cs="宋体"/>
          <w:b/>
          <w:bCs/>
          <w:sz w:val="28"/>
          <w:szCs w:val="28"/>
        </w:rPr>
        <w:t xml:space="preserve">伦理审查的费用       </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sz w:val="28"/>
          <w:szCs w:val="28"/>
        </w:rPr>
      </w:pPr>
      <w:r>
        <w:rPr>
          <w:rFonts w:hint="eastAsia" w:ascii="宋体" w:hAnsi="宋体" w:cs="宋体"/>
          <w:color w:val="auto"/>
          <w:sz w:val="28"/>
          <w:szCs w:val="28"/>
        </w:rPr>
        <w:t>药物或医疗器械（含诊断试剂）的</w:t>
      </w:r>
      <w:r>
        <w:rPr>
          <w:rFonts w:hint="eastAsia" w:ascii="宋体" w:hAnsi="宋体" w:cs="宋体"/>
          <w:sz w:val="28"/>
          <w:szCs w:val="28"/>
        </w:rPr>
        <w:t>初始审查的会议审查费：</w:t>
      </w:r>
      <w:r>
        <w:rPr>
          <w:rFonts w:hint="eastAsia" w:ascii="宋体" w:hAnsi="宋体" w:cs="宋体"/>
          <w:sz w:val="28"/>
          <w:szCs w:val="28"/>
          <w:u w:val="single"/>
        </w:rPr>
        <w:t xml:space="preserve"> </w:t>
      </w:r>
      <w:r>
        <w:rPr>
          <w:rFonts w:hint="default" w:ascii="Times New Roman" w:hAnsi="Times New Roman" w:cs="Times New Roman"/>
          <w:sz w:val="28"/>
          <w:szCs w:val="28"/>
          <w:u w:val="single"/>
        </w:rPr>
        <w:t>4000</w:t>
      </w:r>
      <w:r>
        <w:rPr>
          <w:rFonts w:hint="eastAsia" w:ascii="宋体" w:hAnsi="宋体" w:cs="宋体"/>
          <w:sz w:val="28"/>
          <w:szCs w:val="28"/>
          <w:u w:val="single"/>
        </w:rPr>
        <w:t>.</w:t>
      </w:r>
      <w:r>
        <w:rPr>
          <w:rFonts w:hint="default" w:ascii="Times New Roman" w:hAnsi="Times New Roman" w:cs="Times New Roman"/>
          <w:sz w:val="28"/>
          <w:szCs w:val="28"/>
          <w:u w:val="single"/>
        </w:rPr>
        <w:t>00</w:t>
      </w:r>
      <w:r>
        <w:rPr>
          <w:rFonts w:hint="eastAsia" w:ascii="宋体" w:hAnsi="宋体" w:cs="宋体"/>
          <w:sz w:val="28"/>
          <w:szCs w:val="28"/>
          <w:u w:val="single"/>
        </w:rPr>
        <w:t xml:space="preserve"> </w:t>
      </w:r>
      <w:r>
        <w:rPr>
          <w:rFonts w:hint="eastAsia" w:ascii="宋体" w:hAnsi="宋体" w:cs="宋体"/>
          <w:sz w:val="28"/>
          <w:szCs w:val="28"/>
        </w:rPr>
        <w:t>元。</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sz w:val="28"/>
          <w:szCs w:val="28"/>
        </w:rPr>
      </w:pPr>
      <w:r>
        <w:rPr>
          <w:rFonts w:hint="eastAsia" w:ascii="宋体" w:hAnsi="宋体" w:cs="宋体"/>
          <w:sz w:val="28"/>
          <w:szCs w:val="28"/>
        </w:rPr>
        <w:t>药物临床试验过程中，需要临床试验伦理委员会进行会议审查的跟踪审查以及复审审查的审查费：</w:t>
      </w:r>
      <w:r>
        <w:rPr>
          <w:rFonts w:hint="eastAsia" w:ascii="宋体" w:hAnsi="宋体" w:cs="宋体"/>
          <w:sz w:val="28"/>
          <w:szCs w:val="28"/>
          <w:u w:val="single"/>
        </w:rPr>
        <w:t xml:space="preserve"> </w:t>
      </w:r>
      <w:r>
        <w:rPr>
          <w:rFonts w:hint="default" w:ascii="Times New Roman" w:hAnsi="Times New Roman" w:cs="Times New Roman"/>
          <w:sz w:val="28"/>
          <w:szCs w:val="28"/>
          <w:u w:val="single"/>
        </w:rPr>
        <w:t>1000</w:t>
      </w:r>
      <w:r>
        <w:rPr>
          <w:rFonts w:hint="eastAsia" w:ascii="宋体" w:hAnsi="宋体" w:cs="宋体"/>
          <w:sz w:val="28"/>
          <w:szCs w:val="28"/>
          <w:u w:val="single"/>
        </w:rPr>
        <w:t>.</w:t>
      </w:r>
      <w:r>
        <w:rPr>
          <w:rFonts w:hint="default" w:ascii="Times New Roman" w:hAnsi="Times New Roman" w:cs="Times New Roman"/>
          <w:sz w:val="28"/>
          <w:szCs w:val="28"/>
          <w:u w:val="single"/>
        </w:rPr>
        <w:t>00</w:t>
      </w:r>
      <w:r>
        <w:rPr>
          <w:rFonts w:hint="eastAsia" w:ascii="宋体" w:hAnsi="宋体" w:cs="宋体"/>
          <w:sz w:val="28"/>
          <w:szCs w:val="28"/>
          <w:u w:val="single"/>
        </w:rPr>
        <w:t xml:space="preserve"> </w:t>
      </w:r>
      <w:r>
        <w:rPr>
          <w:rFonts w:hint="eastAsia" w:ascii="宋体" w:hAnsi="宋体" w:cs="宋体"/>
          <w:sz w:val="28"/>
          <w:szCs w:val="28"/>
        </w:rPr>
        <w:t>元/次。</w:t>
      </w:r>
    </w:p>
    <w:p>
      <w:pPr>
        <w:keepNext w:val="0"/>
        <w:keepLines w:val="0"/>
        <w:pageBreakBefore w:val="0"/>
        <w:numPr>
          <w:ilvl w:val="0"/>
          <w:numId w:val="11"/>
        </w:numPr>
        <w:tabs>
          <w:tab w:val="left" w:pos="709"/>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bCs/>
          <w:sz w:val="28"/>
          <w:szCs w:val="28"/>
        </w:rPr>
      </w:pPr>
      <w:r>
        <w:rPr>
          <w:rFonts w:hint="eastAsia" w:ascii="宋体" w:hAnsi="宋体" w:cs="宋体"/>
          <w:b/>
          <w:bCs/>
          <w:sz w:val="28"/>
          <w:szCs w:val="28"/>
        </w:rPr>
        <w:t>联系方式</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临床试验伦理委员会联系人：闻琪琪</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临床试验伦理委员会办公室电话：</w:t>
      </w:r>
      <w:r>
        <w:rPr>
          <w:rFonts w:hint="default" w:ascii="Times New Roman" w:hAnsi="Times New Roman" w:cs="Times New Roman"/>
          <w:sz w:val="28"/>
          <w:szCs w:val="28"/>
        </w:rPr>
        <w:t>0575</w:t>
      </w:r>
      <w:r>
        <w:rPr>
          <w:rFonts w:hint="eastAsia" w:ascii="宋体" w:hAnsi="宋体" w:cs="宋体"/>
          <w:sz w:val="28"/>
          <w:szCs w:val="28"/>
        </w:rPr>
        <w:t>-</w:t>
      </w:r>
      <w:r>
        <w:rPr>
          <w:rFonts w:hint="eastAsia" w:cs="Times New Roman"/>
          <w:sz w:val="28"/>
          <w:szCs w:val="28"/>
          <w:lang w:val="en-US" w:eastAsia="zh-CN"/>
        </w:rPr>
        <w:t>88216017</w:t>
      </w:r>
      <w:r>
        <w:rPr>
          <w:rFonts w:hint="eastAsia" w:ascii="宋体" w:hAnsi="宋体" w:cs="宋体"/>
          <w:sz w:val="28"/>
          <w:szCs w:val="28"/>
        </w:rPr>
        <w:t xml:space="preserve"> </w:t>
      </w:r>
    </w:p>
    <w:p>
      <w:pPr>
        <w:spacing w:line="360" w:lineRule="auto"/>
        <w:ind w:firstLine="560" w:firstLineChars="200"/>
        <w:rPr>
          <w:rFonts w:ascii="宋体" w:hAnsi="宋体" w:cs="宋体"/>
          <w:sz w:val="28"/>
          <w:szCs w:val="28"/>
          <w:highlight w:val="yellow"/>
        </w:rPr>
      </w:pPr>
      <w:r>
        <w:rPr>
          <w:rFonts w:hint="eastAsia" w:ascii="宋体" w:hAnsi="宋体" w:cs="宋体"/>
          <w:sz w:val="28"/>
          <w:szCs w:val="28"/>
        </w:rPr>
        <w:t>临床试验伦理委员会办公室地址：绍兴市</w:t>
      </w:r>
      <w:r>
        <w:rPr>
          <w:rFonts w:hint="eastAsia" w:ascii="宋体" w:hAnsi="宋体" w:cs="宋体"/>
          <w:sz w:val="28"/>
          <w:szCs w:val="28"/>
          <w:lang w:eastAsia="zh-CN"/>
        </w:rPr>
        <w:t>越城区凤林东路</w:t>
      </w:r>
      <w:r>
        <w:rPr>
          <w:rFonts w:hint="eastAsia" w:ascii="宋体" w:hAnsi="宋体" w:cs="宋体"/>
          <w:sz w:val="28"/>
          <w:szCs w:val="28"/>
          <w:lang w:val="en-US" w:eastAsia="zh-CN"/>
        </w:rPr>
        <w:t>222号康复楼10楼伦理办公室</w:t>
      </w:r>
      <w:r>
        <w:rPr>
          <w:rFonts w:hint="eastAsia" w:ascii="宋体" w:hAnsi="宋体" w:cs="宋体"/>
          <w:sz w:val="28"/>
          <w:szCs w:val="28"/>
        </w:rPr>
        <w:t>。</w:t>
      </w:r>
    </w:p>
    <w:p>
      <w:pPr>
        <w:spacing w:line="360" w:lineRule="auto"/>
        <w:ind w:firstLine="560" w:firstLineChars="200"/>
        <w:rPr>
          <w:rFonts w:ascii="宋体" w:hAnsi="宋体" w:cs="宋体"/>
          <w:sz w:val="28"/>
          <w:szCs w:val="28"/>
        </w:rPr>
      </w:pPr>
      <w:r>
        <w:rPr>
          <w:rFonts w:hint="eastAsia" w:ascii="宋体" w:hAnsi="宋体" w:cs="宋体"/>
          <w:sz w:val="28"/>
          <w:szCs w:val="28"/>
        </w:rPr>
        <w:t>临床试验伦理委员会</w:t>
      </w:r>
      <w:r>
        <w:rPr>
          <w:rFonts w:hint="default" w:ascii="Times New Roman" w:hAnsi="Times New Roman" w:cs="Times New Roman"/>
          <w:sz w:val="28"/>
          <w:szCs w:val="28"/>
        </w:rPr>
        <w:t>Email</w:t>
      </w:r>
      <w:r>
        <w:rPr>
          <w:sz w:val="28"/>
          <w:szCs w:val="28"/>
        </w:rPr>
        <w:t>：</w:t>
      </w:r>
      <w:r>
        <w:rPr>
          <w:rFonts w:hint="default" w:ascii="Times New Roman" w:hAnsi="Times New Roman" w:cs="Times New Roman"/>
          <w:sz w:val="28"/>
          <w:szCs w:val="28"/>
        </w:rPr>
        <w:t>kjk5138222</w:t>
      </w:r>
      <w:r>
        <w:rPr>
          <w:rFonts w:hint="eastAsia"/>
          <w:sz w:val="28"/>
          <w:szCs w:val="28"/>
        </w:rPr>
        <w:t>@</w:t>
      </w:r>
      <w:r>
        <w:rPr>
          <w:rFonts w:hint="default" w:ascii="Times New Roman" w:hAnsi="Times New Roman" w:cs="Times New Roman"/>
          <w:sz w:val="28"/>
          <w:szCs w:val="28"/>
        </w:rPr>
        <w:t>163</w:t>
      </w:r>
      <w:r>
        <w:rPr>
          <w:rFonts w:hint="eastAsia"/>
          <w:sz w:val="28"/>
          <w:szCs w:val="28"/>
        </w:rPr>
        <w:t>.</w:t>
      </w:r>
      <w:r>
        <w:rPr>
          <w:rFonts w:hint="default" w:ascii="Times New Roman" w:hAnsi="Times New Roman" w:cs="Times New Roman"/>
          <w:sz w:val="28"/>
          <w:szCs w:val="28"/>
        </w:rPr>
        <w:t>com</w:t>
      </w:r>
    </w:p>
    <w:sectPr>
      <w:headerReference r:id="rId3" w:type="default"/>
      <w:footerReference r:id="rId4" w:type="default"/>
      <w:pgSz w:w="11906" w:h="16838"/>
      <w:pgMar w:top="1417" w:right="1418" w:bottom="1417" w:left="1418" w:header="850" w:footer="964" w:gutter="284"/>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hint="eastAsia" w:ascii="宋体" w:hAnsi="宋体" w:cs="宋体"/>
        <w:kern w:val="0"/>
        <w:sz w:val="18"/>
        <w:szCs w:val="18"/>
        <w:lang w:val="en-US" w:eastAsia="zh-CN"/>
      </w:rPr>
    </w:pPr>
  </w:p>
  <w:p>
    <w:pPr>
      <w:jc w:val="center"/>
      <w:rPr>
        <w:rFonts w:eastAsia="华文仿宋"/>
        <w:sz w:val="18"/>
        <w:szCs w:val="18"/>
      </w:rPr>
    </w:pPr>
    <w:r>
      <w:rPr>
        <w:rFonts w:hint="eastAsia" w:ascii="宋体" w:hAnsi="宋体" w:cs="宋体"/>
        <w:kern w:val="0"/>
        <w:sz w:val="18"/>
        <w:szCs w:val="18"/>
      </w:rPr>
      <w:t xml:space="preserve">第 </w:t>
    </w:r>
    <w:r>
      <w:rPr>
        <w:kern w:val="0"/>
        <w:sz w:val="18"/>
        <w:szCs w:val="18"/>
      </w:rPr>
      <w:fldChar w:fldCharType="begin"/>
    </w:r>
    <w:r>
      <w:rPr>
        <w:kern w:val="0"/>
        <w:sz w:val="18"/>
        <w:szCs w:val="18"/>
      </w:rPr>
      <w:instrText xml:space="preserve"> PAGE </w:instrText>
    </w:r>
    <w:r>
      <w:rPr>
        <w:kern w:val="0"/>
        <w:sz w:val="18"/>
        <w:szCs w:val="18"/>
      </w:rPr>
      <w:fldChar w:fldCharType="separate"/>
    </w:r>
    <w:r>
      <w:rPr>
        <w:kern w:val="0"/>
        <w:sz w:val="18"/>
        <w:szCs w:val="18"/>
      </w:rPr>
      <w:t>2</w:t>
    </w:r>
    <w:r>
      <w:rPr>
        <w:kern w:val="0"/>
        <w:sz w:val="18"/>
        <w:szCs w:val="18"/>
      </w:rPr>
      <w:fldChar w:fldCharType="end"/>
    </w:r>
    <w:r>
      <w:rPr>
        <w:rFonts w:hint="eastAsia" w:ascii="宋体" w:hAnsi="宋体" w:cs="宋体"/>
        <w:kern w:val="0"/>
        <w:sz w:val="18"/>
        <w:szCs w:val="18"/>
      </w:rPr>
      <w:t xml:space="preserve"> 页 / 共 </w:t>
    </w:r>
    <w:r>
      <w:rPr>
        <w:kern w:val="0"/>
        <w:sz w:val="18"/>
        <w:szCs w:val="18"/>
      </w:rPr>
      <w:fldChar w:fldCharType="begin"/>
    </w:r>
    <w:r>
      <w:rPr>
        <w:kern w:val="0"/>
        <w:sz w:val="18"/>
        <w:szCs w:val="18"/>
      </w:rPr>
      <w:instrText xml:space="preserve"> NUMPAGES </w:instrText>
    </w:r>
    <w:r>
      <w:rPr>
        <w:kern w:val="0"/>
        <w:sz w:val="18"/>
        <w:szCs w:val="18"/>
      </w:rPr>
      <w:fldChar w:fldCharType="separate"/>
    </w:r>
    <w:r>
      <w:rPr>
        <w:kern w:val="0"/>
        <w:sz w:val="18"/>
        <w:szCs w:val="18"/>
      </w:rPr>
      <w:t>6</w:t>
    </w:r>
    <w:r>
      <w:rPr>
        <w:kern w:val="0"/>
        <w:sz w:val="18"/>
        <w:szCs w:val="18"/>
      </w:rPr>
      <w:fldChar w:fldCharType="end"/>
    </w:r>
    <w:r>
      <w:rPr>
        <w:rFonts w:hint="eastAsia" w:ascii="宋体" w:hAnsi="宋体" w:cs="宋体"/>
        <w:kern w:val="0"/>
        <w:sz w:val="18"/>
        <w:szCs w:val="18"/>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left"/>
      <w:rPr>
        <w:rFonts w:hint="eastAsia" w:eastAsia="宋体"/>
        <w:lang w:val="en-US" w:eastAsia="zh-CN"/>
      </w:rPr>
    </w:pPr>
    <w:r>
      <w:rPr>
        <w:rFonts w:ascii="宋体"/>
      </w:rPr>
      <w:drawing>
        <wp:inline distT="0" distB="0" distL="114300" distR="114300">
          <wp:extent cx="409575" cy="409575"/>
          <wp:effectExtent l="0" t="0" r="9525" b="9525"/>
          <wp:docPr id="3" name="图片 1" descr="9854753908ef4200c7610643aedf9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54753908ef4200c7610643aedf96d"/>
                  <pic:cNvPicPr>
                    <a:picLocks noChangeAspect="1"/>
                  </pic:cNvPicPr>
                </pic:nvPicPr>
                <pic:blipFill>
                  <a:blip r:embed="rId1"/>
                  <a:stretch>
                    <a:fillRect/>
                  </a:stretch>
                </pic:blipFill>
                <pic:spPr>
                  <a:xfrm>
                    <a:off x="0" y="0"/>
                    <a:ext cx="409575" cy="409575"/>
                  </a:xfrm>
                  <a:prstGeom prst="rect">
                    <a:avLst/>
                  </a:prstGeom>
                  <a:noFill/>
                  <a:ln>
                    <a:noFill/>
                  </a:ln>
                </pic:spPr>
              </pic:pic>
            </a:graphicData>
          </a:graphic>
        </wp:inline>
      </w:drawing>
    </w:r>
    <w:r>
      <w:rPr>
        <w:rFonts w:hint="eastAsia" w:ascii="宋体" w:hAnsi="宋体"/>
      </w:rPr>
      <w:t>绍兴市妇幼保健院</w:t>
    </w:r>
    <w:r>
      <w:rPr>
        <w:rFonts w:hint="eastAsia" w:ascii="宋体" w:hAnsi="宋体"/>
        <w:lang w:bidi="ar"/>
      </w:rPr>
      <w:t xml:space="preserve"> 临床试验伦理审查委员会</w:t>
    </w:r>
    <w:r>
      <w:rPr>
        <w:rFonts w:hint="eastAsia" w:ascii="宋体" w:hAnsi="宋体" w:cs="宋体"/>
        <w:kern w:val="0"/>
      </w:rPr>
      <w:ptab w:relativeTo="margin" w:alignment="right" w:leader="none"/>
    </w:r>
    <w:r>
      <w:rPr>
        <w:rFonts w:hint="eastAsia" w:ascii="宋体" w:hAnsi="宋体" w:cs="宋体"/>
        <w:kern w:val="0"/>
      </w:rPr>
      <w:t>文件编号：</w:t>
    </w:r>
    <w:r>
      <w:t>IEC-ZN-001</w:t>
    </w:r>
    <w:r>
      <w:rPr>
        <w:rFonts w:hint="eastAsia"/>
      </w:rPr>
      <w:t>-1.</w:t>
    </w:r>
    <w:r>
      <w:rPr>
        <w:rFonts w:hint="eastAsia"/>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9E967D"/>
    <w:multiLevelType w:val="singleLevel"/>
    <w:tmpl w:val="959E967D"/>
    <w:lvl w:ilvl="0" w:tentative="0">
      <w:start w:val="1"/>
      <w:numFmt w:val="decimal"/>
      <w:suff w:val="space"/>
      <w:lvlText w:val="%1."/>
      <w:lvlJc w:val="left"/>
    </w:lvl>
  </w:abstractNum>
  <w:abstractNum w:abstractNumId="1">
    <w:nsid w:val="00000003"/>
    <w:multiLevelType w:val="multilevel"/>
    <w:tmpl w:val="00000003"/>
    <w:lvl w:ilvl="0" w:tentative="0">
      <w:start w:val="1"/>
      <w:numFmt w:val="decimal"/>
      <w:lvlText w:val="%1."/>
      <w:lvlJc w:val="left"/>
      <w:pPr>
        <w:ind w:left="420" w:hanging="420"/>
      </w:pPr>
    </w:lvl>
    <w:lvl w:ilvl="1" w:tentative="0">
      <w:start w:val="1"/>
      <w:numFmt w:val="decimal"/>
      <w:lvlText w:val="%2."/>
      <w:lvlJc w:val="left"/>
      <w:pPr>
        <w:ind w:left="840" w:hanging="420"/>
      </w:pPr>
      <w:rPr>
        <w:rFonts w:hint="default" w:ascii="Times New Roman" w:hAnsi="Times New Roman" w:cs="Times New Roman"/>
        <w:sz w:val="28"/>
        <w:szCs w:val="28"/>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456684C"/>
    <w:multiLevelType w:val="singleLevel"/>
    <w:tmpl w:val="0456684C"/>
    <w:lvl w:ilvl="0" w:tentative="0">
      <w:start w:val="11"/>
      <w:numFmt w:val="chineseCounting"/>
      <w:suff w:val="space"/>
      <w:lvlText w:val="%1、"/>
      <w:lvlJc w:val="left"/>
      <w:rPr>
        <w:rFonts w:hint="eastAsia"/>
      </w:rPr>
    </w:lvl>
  </w:abstractNum>
  <w:abstractNum w:abstractNumId="3">
    <w:nsid w:val="0AFB3F64"/>
    <w:multiLevelType w:val="singleLevel"/>
    <w:tmpl w:val="0AFB3F64"/>
    <w:lvl w:ilvl="0" w:tentative="0">
      <w:start w:val="1"/>
      <w:numFmt w:val="decimal"/>
      <w:suff w:val="space"/>
      <w:lvlText w:val="%1."/>
      <w:lvlJc w:val="left"/>
    </w:lvl>
  </w:abstractNum>
  <w:abstractNum w:abstractNumId="4">
    <w:nsid w:val="24F90BB9"/>
    <w:multiLevelType w:val="singleLevel"/>
    <w:tmpl w:val="24F90BB9"/>
    <w:lvl w:ilvl="0" w:tentative="0">
      <w:start w:val="1"/>
      <w:numFmt w:val="decimal"/>
      <w:suff w:val="space"/>
      <w:lvlText w:val="%1."/>
      <w:lvlJc w:val="left"/>
    </w:lvl>
  </w:abstractNum>
  <w:abstractNum w:abstractNumId="5">
    <w:nsid w:val="35E97AB1"/>
    <w:multiLevelType w:val="singleLevel"/>
    <w:tmpl w:val="35E97AB1"/>
    <w:lvl w:ilvl="0" w:tentative="0">
      <w:start w:val="1"/>
      <w:numFmt w:val="decimal"/>
      <w:suff w:val="space"/>
      <w:lvlText w:val="%1."/>
      <w:lvlJc w:val="left"/>
    </w:lvl>
  </w:abstractNum>
  <w:abstractNum w:abstractNumId="6">
    <w:nsid w:val="38A955EA"/>
    <w:multiLevelType w:val="singleLevel"/>
    <w:tmpl w:val="38A955EA"/>
    <w:lvl w:ilvl="0" w:tentative="0">
      <w:start w:val="1"/>
      <w:numFmt w:val="decimal"/>
      <w:suff w:val="space"/>
      <w:lvlText w:val="%1."/>
      <w:lvlJc w:val="left"/>
    </w:lvl>
  </w:abstractNum>
  <w:abstractNum w:abstractNumId="7">
    <w:nsid w:val="3C4BC52B"/>
    <w:multiLevelType w:val="singleLevel"/>
    <w:tmpl w:val="3C4BC52B"/>
    <w:lvl w:ilvl="0" w:tentative="0">
      <w:start w:val="1"/>
      <w:numFmt w:val="decimal"/>
      <w:suff w:val="space"/>
      <w:lvlText w:val="%1."/>
      <w:lvlJc w:val="left"/>
    </w:lvl>
  </w:abstractNum>
  <w:abstractNum w:abstractNumId="8">
    <w:nsid w:val="44F408C3"/>
    <w:multiLevelType w:val="multilevel"/>
    <w:tmpl w:val="44F408C3"/>
    <w:lvl w:ilvl="0" w:tentative="0">
      <w:start w:val="1"/>
      <w:numFmt w:val="decimal"/>
      <w:lvlText w:val="%1、"/>
      <w:lvlJc w:val="left"/>
      <w:pPr>
        <w:ind w:left="987" w:hanging="420"/>
      </w:pPr>
      <w:rPr>
        <w:rFonts w:hint="eastAsia"/>
      </w:rPr>
    </w:lvl>
    <w:lvl w:ilvl="1" w:tentative="0">
      <w:start w:val="1"/>
      <w:numFmt w:val="decimal"/>
      <w:lvlText w:val="%2."/>
      <w:lvlJc w:val="left"/>
      <w:pPr>
        <w:ind w:left="1407" w:hanging="420"/>
      </w:pPr>
      <w:rPr>
        <w:rFonts w:hint="default" w:ascii="Times New Roman" w:hAnsi="Times New Roman" w:eastAsia="华文仿宋" w:cs="Times New Roman"/>
        <w:sz w:val="28"/>
        <w:szCs w:val="28"/>
      </w:r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9">
    <w:nsid w:val="4DD059C1"/>
    <w:multiLevelType w:val="multilevel"/>
    <w:tmpl w:val="4DD059C1"/>
    <w:lvl w:ilvl="0" w:tentative="0">
      <w:start w:val="1"/>
      <w:numFmt w:val="chineseCountingThousand"/>
      <w:lvlText w:val="%1、"/>
      <w:lvlJc w:val="left"/>
      <w:pPr>
        <w:ind w:left="420" w:hanging="420"/>
      </w:pPr>
      <w:rPr>
        <w:rFonts w:hint="eastAsia" w:ascii="宋体" w:hAnsi="宋体" w:eastAsia="宋体" w:cs="宋体"/>
        <w:b/>
        <w:bCs/>
        <w:color w:val="auto"/>
        <w:sz w:val="28"/>
        <w:szCs w:val="28"/>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D386D66"/>
    <w:multiLevelType w:val="singleLevel"/>
    <w:tmpl w:val="5D386D66"/>
    <w:lvl w:ilvl="0" w:tentative="0">
      <w:start w:val="1"/>
      <w:numFmt w:val="decimal"/>
      <w:suff w:val="space"/>
      <w:lvlText w:val="%1."/>
      <w:lvlJc w:val="left"/>
    </w:lvl>
  </w:abstractNum>
  <w:num w:numId="1">
    <w:abstractNumId w:val="9"/>
  </w:num>
  <w:num w:numId="2">
    <w:abstractNumId w:val="10"/>
  </w:num>
  <w:num w:numId="3">
    <w:abstractNumId w:val="6"/>
  </w:num>
  <w:num w:numId="4">
    <w:abstractNumId w:val="0"/>
  </w:num>
  <w:num w:numId="5">
    <w:abstractNumId w:val="8"/>
  </w:num>
  <w:num w:numId="6">
    <w:abstractNumId w:val="7"/>
  </w:num>
  <w:num w:numId="7">
    <w:abstractNumId w:val="5"/>
  </w:num>
  <w:num w:numId="8">
    <w:abstractNumId w:val="3"/>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NTVmMmUyNjRkZjcyYTg3ZGE0ZTYxZjE2ODE5M2QifQ=="/>
  </w:docVars>
  <w:rsids>
    <w:rsidRoot w:val="00172A27"/>
    <w:rsid w:val="00003823"/>
    <w:rsid w:val="000E49B0"/>
    <w:rsid w:val="000E5DCF"/>
    <w:rsid w:val="00102AA1"/>
    <w:rsid w:val="00103695"/>
    <w:rsid w:val="001325B9"/>
    <w:rsid w:val="00161141"/>
    <w:rsid w:val="00175833"/>
    <w:rsid w:val="001D7C80"/>
    <w:rsid w:val="001E15E3"/>
    <w:rsid w:val="001E2213"/>
    <w:rsid w:val="00210FD3"/>
    <w:rsid w:val="00214277"/>
    <w:rsid w:val="002247AA"/>
    <w:rsid w:val="00233E27"/>
    <w:rsid w:val="00275558"/>
    <w:rsid w:val="00277B06"/>
    <w:rsid w:val="002A31A6"/>
    <w:rsid w:val="002A4757"/>
    <w:rsid w:val="002D68B4"/>
    <w:rsid w:val="002E315F"/>
    <w:rsid w:val="00306B44"/>
    <w:rsid w:val="00337998"/>
    <w:rsid w:val="00363C87"/>
    <w:rsid w:val="00371F85"/>
    <w:rsid w:val="003D47ED"/>
    <w:rsid w:val="00427D03"/>
    <w:rsid w:val="00481D4B"/>
    <w:rsid w:val="004A3A8F"/>
    <w:rsid w:val="004B1FDF"/>
    <w:rsid w:val="0053045E"/>
    <w:rsid w:val="0054188B"/>
    <w:rsid w:val="005643EB"/>
    <w:rsid w:val="0059468E"/>
    <w:rsid w:val="006137C6"/>
    <w:rsid w:val="006437DA"/>
    <w:rsid w:val="00655272"/>
    <w:rsid w:val="00677109"/>
    <w:rsid w:val="00681E87"/>
    <w:rsid w:val="006843BE"/>
    <w:rsid w:val="006E393B"/>
    <w:rsid w:val="006E7BE2"/>
    <w:rsid w:val="006F0242"/>
    <w:rsid w:val="00750E5F"/>
    <w:rsid w:val="00756139"/>
    <w:rsid w:val="00775A3F"/>
    <w:rsid w:val="00791932"/>
    <w:rsid w:val="007B1D2D"/>
    <w:rsid w:val="007E7C44"/>
    <w:rsid w:val="008075D8"/>
    <w:rsid w:val="00807B84"/>
    <w:rsid w:val="00826D14"/>
    <w:rsid w:val="0086564E"/>
    <w:rsid w:val="0087149F"/>
    <w:rsid w:val="0089449C"/>
    <w:rsid w:val="008A2650"/>
    <w:rsid w:val="008E3634"/>
    <w:rsid w:val="00903F37"/>
    <w:rsid w:val="00925EAC"/>
    <w:rsid w:val="00930295"/>
    <w:rsid w:val="009512BA"/>
    <w:rsid w:val="00974F1A"/>
    <w:rsid w:val="00993C71"/>
    <w:rsid w:val="009A2C9A"/>
    <w:rsid w:val="009C2059"/>
    <w:rsid w:val="009D610D"/>
    <w:rsid w:val="00A011DF"/>
    <w:rsid w:val="00A04B7E"/>
    <w:rsid w:val="00A12296"/>
    <w:rsid w:val="00A27225"/>
    <w:rsid w:val="00A404BE"/>
    <w:rsid w:val="00A94B83"/>
    <w:rsid w:val="00AB1590"/>
    <w:rsid w:val="00AB3A43"/>
    <w:rsid w:val="00AF7A29"/>
    <w:rsid w:val="00B05E8C"/>
    <w:rsid w:val="00B11008"/>
    <w:rsid w:val="00B17ACE"/>
    <w:rsid w:val="00B311DA"/>
    <w:rsid w:val="00B51EDF"/>
    <w:rsid w:val="00BB2281"/>
    <w:rsid w:val="00BB26E8"/>
    <w:rsid w:val="00BF0BE6"/>
    <w:rsid w:val="00C17614"/>
    <w:rsid w:val="00C7216F"/>
    <w:rsid w:val="00C8563F"/>
    <w:rsid w:val="00C9359B"/>
    <w:rsid w:val="00D55F44"/>
    <w:rsid w:val="00D56B81"/>
    <w:rsid w:val="00D64B09"/>
    <w:rsid w:val="00D93873"/>
    <w:rsid w:val="00DA1A3E"/>
    <w:rsid w:val="00DB6F89"/>
    <w:rsid w:val="00DF3802"/>
    <w:rsid w:val="00E3419C"/>
    <w:rsid w:val="00E81332"/>
    <w:rsid w:val="00E9521C"/>
    <w:rsid w:val="00ED1FDA"/>
    <w:rsid w:val="00F0156F"/>
    <w:rsid w:val="00F12060"/>
    <w:rsid w:val="00F1772A"/>
    <w:rsid w:val="00F36630"/>
    <w:rsid w:val="00F4707E"/>
    <w:rsid w:val="00FC436A"/>
    <w:rsid w:val="00FE2DDE"/>
    <w:rsid w:val="021533E7"/>
    <w:rsid w:val="025F28B4"/>
    <w:rsid w:val="03DE6373"/>
    <w:rsid w:val="04892E54"/>
    <w:rsid w:val="0C654F6B"/>
    <w:rsid w:val="14F722F8"/>
    <w:rsid w:val="1505152E"/>
    <w:rsid w:val="18F41CB6"/>
    <w:rsid w:val="1D1F7324"/>
    <w:rsid w:val="223236E9"/>
    <w:rsid w:val="24F06184"/>
    <w:rsid w:val="27716327"/>
    <w:rsid w:val="281573ED"/>
    <w:rsid w:val="28F519C1"/>
    <w:rsid w:val="291922CA"/>
    <w:rsid w:val="293B76EF"/>
    <w:rsid w:val="31D20BF2"/>
    <w:rsid w:val="323B2C2B"/>
    <w:rsid w:val="35827050"/>
    <w:rsid w:val="376B32F9"/>
    <w:rsid w:val="37AB7C28"/>
    <w:rsid w:val="38DD5509"/>
    <w:rsid w:val="3AD80F7F"/>
    <w:rsid w:val="3B766543"/>
    <w:rsid w:val="3FC0580E"/>
    <w:rsid w:val="44510B03"/>
    <w:rsid w:val="45AA4012"/>
    <w:rsid w:val="47C20129"/>
    <w:rsid w:val="47ED5F46"/>
    <w:rsid w:val="4A8D5FA6"/>
    <w:rsid w:val="4AE1597C"/>
    <w:rsid w:val="4D0B421B"/>
    <w:rsid w:val="529666CE"/>
    <w:rsid w:val="52E1316B"/>
    <w:rsid w:val="585F6FDE"/>
    <w:rsid w:val="5BD47258"/>
    <w:rsid w:val="5C6C6881"/>
    <w:rsid w:val="5DE22DD3"/>
    <w:rsid w:val="60D721CB"/>
    <w:rsid w:val="610E7A3A"/>
    <w:rsid w:val="61E20B77"/>
    <w:rsid w:val="62B335E4"/>
    <w:rsid w:val="64F22D7A"/>
    <w:rsid w:val="669F3DBD"/>
    <w:rsid w:val="676B2636"/>
    <w:rsid w:val="69195CA1"/>
    <w:rsid w:val="6A0709CA"/>
    <w:rsid w:val="6A273FE7"/>
    <w:rsid w:val="6B3E223A"/>
    <w:rsid w:val="73073FCA"/>
    <w:rsid w:val="75B237DD"/>
    <w:rsid w:val="77CA59A0"/>
    <w:rsid w:val="7C375F73"/>
    <w:rsid w:val="7D1F3F48"/>
    <w:rsid w:val="7D8D0136"/>
    <w:rsid w:val="7F6503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Balloon Text"/>
    <w:basedOn w:val="1"/>
    <w:link w:val="11"/>
    <w:qFormat/>
    <w:uiPriority w:val="0"/>
    <w:rPr>
      <w:rFonts w:ascii="Times New Roman" w:hAnsi="Times New Roman" w:eastAsia="宋体" w:cs="Times New Roman"/>
      <w:sz w:val="18"/>
      <w:szCs w:val="18"/>
    </w:rPr>
  </w:style>
  <w:style w:type="paragraph" w:styleId="4">
    <w:name w:val="footer"/>
    <w:basedOn w:val="1"/>
    <w:link w:val="12"/>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annotation subject"/>
    <w:basedOn w:val="2"/>
    <w:next w:val="2"/>
    <w:link w:val="14"/>
    <w:qFormat/>
    <w:uiPriority w:val="0"/>
    <w:rPr>
      <w:b/>
      <w:bCs/>
    </w:rPr>
  </w:style>
  <w:style w:type="character" w:styleId="9">
    <w:name w:val="annotation reference"/>
    <w:qFormat/>
    <w:uiPriority w:val="0"/>
    <w:rPr>
      <w:sz w:val="21"/>
      <w:szCs w:val="21"/>
    </w:rPr>
  </w:style>
  <w:style w:type="character" w:customStyle="1" w:styleId="10">
    <w:name w:val="批注文字 字符"/>
    <w:link w:val="2"/>
    <w:qFormat/>
    <w:uiPriority w:val="0"/>
    <w:rPr>
      <w:kern w:val="2"/>
      <w:sz w:val="21"/>
      <w:szCs w:val="21"/>
    </w:rPr>
  </w:style>
  <w:style w:type="character" w:customStyle="1" w:styleId="11">
    <w:name w:val="批注框文本 字符"/>
    <w:link w:val="3"/>
    <w:qFormat/>
    <w:uiPriority w:val="0"/>
    <w:rPr>
      <w:rFonts w:ascii="Times New Roman" w:hAnsi="Times New Roman" w:eastAsia="宋体" w:cs="Times New Roman"/>
      <w:sz w:val="18"/>
      <w:szCs w:val="18"/>
    </w:rPr>
  </w:style>
  <w:style w:type="character" w:customStyle="1" w:styleId="12">
    <w:name w:val="页脚 字符"/>
    <w:link w:val="4"/>
    <w:qFormat/>
    <w:uiPriority w:val="0"/>
    <w:rPr>
      <w:rFonts w:ascii="Times New Roman" w:hAnsi="Times New Roman" w:eastAsia="宋体" w:cs="Times New Roman"/>
      <w:sz w:val="18"/>
      <w:szCs w:val="18"/>
    </w:rPr>
  </w:style>
  <w:style w:type="character" w:customStyle="1" w:styleId="13">
    <w:name w:val="页眉 字符"/>
    <w:link w:val="5"/>
    <w:qFormat/>
    <w:uiPriority w:val="0"/>
    <w:rPr>
      <w:rFonts w:ascii="Times New Roman" w:hAnsi="Times New Roman" w:eastAsia="宋体" w:cs="Times New Roman"/>
      <w:sz w:val="18"/>
      <w:szCs w:val="18"/>
    </w:rPr>
  </w:style>
  <w:style w:type="character" w:customStyle="1" w:styleId="14">
    <w:name w:val="批注主题 字符"/>
    <w:link w:val="6"/>
    <w:qFormat/>
    <w:uiPriority w:val="0"/>
    <w:rPr>
      <w:b/>
      <w:bCs/>
      <w:kern w:val="2"/>
      <w:sz w:val="21"/>
      <w:szCs w:val="21"/>
    </w:rPr>
  </w:style>
  <w:style w:type="paragraph" w:customStyle="1" w:styleId="15">
    <w:name w:val="List Paragraph"/>
    <w:basedOn w:val="1"/>
    <w:qFormat/>
    <w:uiPriority w:val="0"/>
    <w:pPr>
      <w:ind w:firstLine="420" w:firstLineChars="200"/>
    </w:pPr>
  </w:style>
  <w:style w:type="paragraph" w:customStyle="1" w:styleId="16">
    <w:name w:val="列出段落1"/>
    <w:basedOn w:val="1"/>
    <w:qFormat/>
    <w:uiPriority w:val="99"/>
    <w:pPr>
      <w:ind w:firstLine="420" w:firstLineChars="200"/>
    </w:pPr>
    <w:rPr>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01-20211008-&#23004;&#23267;\01-&#34892;&#25919;\05-&#35013;&#35746;&#20462;&#25913;&#25991;&#20214;-&#21307;&#38498;\20230829-&#32461;&#20852;&#24066;&#22919;&#24188;&#20445;&#20581;&#38498;&#25171;&#21360;&#35013;&#35746;\1.&#32461;&#20852;&#24066;&#22919;&#24188;&#20445;&#20581;&#38498;.&#26426;&#26500;&#31649;&#29702;&#25991;&#20214;&#31995;&#32479;\&#32461;&#20852;&#24066;&#22919;&#24188;&#20445;&#20581;&#38498;.&#26426;&#26500;&#31649;&#29702;&#25991;&#20214;&#31995;&#32479;\1.&#26426;&#26500;&#31649;&#29702;&#21046;&#24230;\Normal_Wordconv"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 Corporation</Company>
  <Pages>7</Pages>
  <Words>2303</Words>
  <Characters>2432</Characters>
  <Lines>18</Lines>
  <Paragraphs>5</Paragraphs>
  <TotalTime>0</TotalTime>
  <ScaleCrop>false</ScaleCrop>
  <LinksUpToDate>false</LinksUpToDate>
  <CharactersWithSpaces>2526</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2012-10-10T21:57:00Z</dcterms:created>
  <dc:creator>china</dc:creator>
  <cp:lastModifiedBy>bsoft</cp:lastModifiedBy>
  <cp:lastPrinted>2022-09-29T02:18:00Z</cp:lastPrinted>
  <dcterms:modified xsi:type="dcterms:W3CDTF">2024-03-15T02:32:50Z</dcterms:modified>
  <dc:title>User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6EE63E8183594DFB8EDB8B7BF70BC407_13</vt:lpwstr>
  </property>
</Properties>
</file>