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绍兴市妇幼保健院关于充电宝出租的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按照绍兴市妇幼保健院需求，医院总务科室对充电宝出租项目进行竞价，欢迎符合要求的供应商进行报价。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一、项目名称：充电宝出租项目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（一）项目底价：8000元/两年</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竞价项目概况（内容、用途、数量、简要技术要求等）:供应商在医院提供的场地内进行设备摆放，并支付费用（含电费），具体投放位置详见附件清单二。投放的设备须提供质检报告和相关保险凭证，支持线上支付（支付宝/微信）。本项目以最高报价方式进行确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供应商有效期内营业执照经营范围因包含充电宝租赁服务内容。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（四）特定要求：</w:t>
      </w:r>
      <w:r>
        <w:rPr>
          <w:rFonts w:hint="eastAsia" w:ascii="仿宋_GB2312" w:hAnsi="仿宋_GB2312" w:eastAsia="仿宋_GB2312" w:cs="仿宋_GB2312"/>
          <w:color w:val="auto"/>
          <w:kern w:val="0"/>
          <w:sz w:val="32"/>
          <w:szCs w:val="32"/>
          <w:highlight w:val="none"/>
          <w:lang w:val="en-US" w:eastAsia="zh-CN" w:bidi="ar-SA"/>
        </w:rPr>
        <w:t>①充电宝设备必须符合国家质检标准，通过相关安全认证，设备应具备防护措施。②不得收集使用者个人一切相关信息。③充电宝设备及相关软件不得出现任何广告信息。④根据医院要求设置定时功能。⑤充电宝需适配所有手机型号，每小时上限价格不得超过4元，24小时上限价格不得超过16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（六）由各供应商自行勘察现场，因未能勘察现场而产生的相关问题，由供应商自行承担。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三、报价文件：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附件一）、⑤设备技术参数及设备介绍材料、设备检测报告、设备保险凭证。以上资料必须齐全并加盖单位公章，否则该报价文件作无效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（二）报价文件递交截止时间：2024年11月5日北京时间17:00时，在截止时间后送达的响应文件为无效文件，拒绝接收。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（三）报价文件报送方式：密封后送达绍兴市妇幼保健院总务科，密封袋表面必须标注此项目名称。</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四、评定成交标准</w:t>
      </w:r>
      <w:r>
        <w:rPr>
          <w:rFonts w:hint="eastAsia" w:ascii="仿宋_GB2312" w:hAnsi="仿宋_GB2312" w:eastAsia="仿宋_GB2312" w:cs="仿宋_GB2312"/>
          <w:color w:val="auto"/>
          <w:kern w:val="0"/>
          <w:sz w:val="32"/>
          <w:szCs w:val="32"/>
          <w:highlight w:val="none"/>
          <w:lang w:val="en-US" w:eastAsia="zh-CN" w:bidi="ar-SA"/>
        </w:rPr>
        <w:t>：根据质量和服务均能满足询价文件实质性响应要求且报价最高的原则确定成交供应商。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2024年10月31日</w:t>
      </w:r>
    </w:p>
    <w:p/>
    <w:p>
      <w:pPr>
        <w:pStyle w:val="2"/>
      </w:pPr>
    </w:p>
    <w:p/>
    <w:p>
      <w:pPr>
        <w:pStyle w:val="2"/>
      </w:pPr>
    </w:p>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附件一：</w:t>
      </w:r>
    </w:p>
    <w:p>
      <w:pPr>
        <w:jc w:val="center"/>
        <w:rPr>
          <w:rFonts w:ascii="仿宋_GB2312" w:hAnsi="仿宋_GB2312" w:eastAsia="仿宋_GB2312" w:cs="Times New Roman"/>
          <w:b/>
          <w:bCs/>
          <w:sz w:val="36"/>
          <w:szCs w:val="36"/>
        </w:rPr>
      </w:pPr>
      <w:r>
        <w:rPr>
          <w:rFonts w:hint="eastAsia" w:ascii="仿宋_GB2312" w:hAnsi="仿宋_GB2312" w:eastAsia="仿宋_GB2312" w:cs="仿宋_GB2312"/>
          <w:b/>
          <w:bCs/>
          <w:sz w:val="36"/>
          <w:szCs w:val="36"/>
          <w:lang w:eastAsia="zh-CN"/>
        </w:rPr>
        <w:t>报价</w:t>
      </w:r>
      <w:r>
        <w:rPr>
          <w:rFonts w:hint="eastAsia" w:ascii="仿宋_GB2312" w:hAnsi="仿宋_GB2312" w:eastAsia="仿宋_GB2312" w:cs="仿宋_GB2312"/>
          <w:b/>
          <w:bCs/>
          <w:sz w:val="36"/>
          <w:szCs w:val="36"/>
        </w:rPr>
        <w:t>一览表</w:t>
      </w:r>
    </w:p>
    <w:p>
      <w:pPr>
        <w:jc w:val="center"/>
        <w:rPr>
          <w:rFonts w:ascii="仿宋_GB2312" w:hAnsi="仿宋_GB2312" w:eastAsia="仿宋_GB2312" w:cs="Times New Roman"/>
          <w:b/>
          <w:bCs/>
          <w:sz w:val="36"/>
          <w:szCs w:val="36"/>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tbl>
      <w:tblPr>
        <w:tblStyle w:val="5"/>
        <w:tblpPr w:leftFromText="180" w:rightFromText="180" w:vertAnchor="text" w:horzAnchor="page" w:tblpX="1621" w:tblpY="667"/>
        <w:tblOverlap w:val="never"/>
        <w:tblW w:w="9066" w:type="dxa"/>
        <w:tblInd w:w="0" w:type="dxa"/>
        <w:tblLayout w:type="fixed"/>
        <w:tblCellMar>
          <w:top w:w="0" w:type="dxa"/>
          <w:left w:w="30" w:type="dxa"/>
          <w:bottom w:w="0" w:type="dxa"/>
          <w:right w:w="30" w:type="dxa"/>
        </w:tblCellMar>
      </w:tblPr>
      <w:tblGrid>
        <w:gridCol w:w="852"/>
        <w:gridCol w:w="5811"/>
        <w:gridCol w:w="1395"/>
        <w:gridCol w:w="1008"/>
      </w:tblGrid>
      <w:tr>
        <w:trPr>
          <w:trHeight w:val="520"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序号</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项目名称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lang w:val="en-US" w:eastAsia="zh-CN"/>
              </w:rPr>
              <w:t>报价（元）</w:t>
            </w:r>
          </w:p>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（金额单位：元</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人民币）</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备注</w:t>
            </w:r>
          </w:p>
        </w:tc>
      </w:tr>
      <w:tr>
        <w:tblPrEx>
          <w:tblCellMar>
            <w:top w:w="0" w:type="dxa"/>
            <w:left w:w="30" w:type="dxa"/>
            <w:bottom w:w="0" w:type="dxa"/>
            <w:right w:w="30" w:type="dxa"/>
          </w:tblCellMar>
        </w:tblPrEx>
        <w:trPr>
          <w:trHeight w:val="1012"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pStyle w:val="7"/>
              <w:ind w:left="2" w:leftChars="1" w:firstLine="0" w:firstLineChars="0"/>
              <w:rPr>
                <w:rFonts w:ascii="仿宋_GB2312" w:hAnsi="仿宋_GB2312" w:eastAsia="仿宋_GB2312" w:cs="Times New Roman"/>
                <w:sz w:val="30"/>
                <w:szCs w:val="30"/>
              </w:rPr>
            </w:pPr>
            <w:r>
              <w:rPr>
                <w:rFonts w:hint="eastAsia" w:ascii="仿宋" w:hAnsi="仿宋" w:eastAsia="仿宋" w:cs="仿宋"/>
                <w:i w:val="0"/>
                <w:iCs w:val="0"/>
                <w:caps w:val="0"/>
                <w:color w:val="000000"/>
                <w:spacing w:val="0"/>
                <w:sz w:val="30"/>
                <w:szCs w:val="30"/>
                <w:shd w:val="clear" w:color="auto" w:fill="FFFFFF"/>
              </w:rPr>
              <w:t>绍兴市妇幼保健院</w:t>
            </w:r>
            <w:r>
              <w:rPr>
                <w:rFonts w:hint="eastAsia" w:ascii="仿宋" w:hAnsi="仿宋" w:eastAsia="仿宋" w:cs="仿宋"/>
                <w:i w:val="0"/>
                <w:iCs w:val="0"/>
                <w:caps w:val="0"/>
                <w:color w:val="000000"/>
                <w:spacing w:val="0"/>
                <w:sz w:val="30"/>
                <w:szCs w:val="30"/>
                <w:shd w:val="clear" w:color="auto" w:fill="FFFFFF"/>
                <w:lang w:val="en-US" w:eastAsia="zh-CN"/>
              </w:rPr>
              <w:t>充电宝出租</w:t>
            </w:r>
            <w:r>
              <w:rPr>
                <w:rFonts w:hint="eastAsia" w:ascii="仿宋" w:hAnsi="仿宋" w:eastAsia="仿宋" w:cs="仿宋"/>
                <w:i w:val="0"/>
                <w:iCs w:val="0"/>
                <w:caps w:val="0"/>
                <w:color w:val="000000"/>
                <w:spacing w:val="0"/>
                <w:sz w:val="30"/>
                <w:szCs w:val="30"/>
                <w:shd w:val="clear" w:color="auto" w:fill="FFFFFF"/>
              </w:rPr>
              <w:t>项目</w:t>
            </w:r>
          </w:p>
        </w:tc>
        <w:tc>
          <w:tcPr>
            <w:tcW w:w="1395" w:type="dxa"/>
            <w:tcBorders>
              <w:top w:val="single" w:color="auto" w:sz="6" w:space="0"/>
              <w:left w:val="single" w:color="auto" w:sz="6" w:space="0"/>
              <w:bottom w:val="single" w:color="auto" w:sz="6" w:space="0"/>
              <w:right w:val="single" w:color="auto" w:sz="6" w:space="0"/>
            </w:tcBorders>
            <w:noWrap w:val="0"/>
            <w:vAlign w:val="top"/>
          </w:tcPr>
          <w:p>
            <w:pPr>
              <w:pStyle w:val="7"/>
              <w:ind w:left="2" w:leftChars="1" w:firstLine="450" w:firstLineChars="150"/>
              <w:rPr>
                <w:rFonts w:ascii="仿宋_GB2312" w:hAnsi="仿宋_GB2312" w:eastAsia="仿宋_GB2312" w:cs="Times New Roman"/>
                <w:sz w:val="30"/>
                <w:szCs w:val="30"/>
              </w:rPr>
            </w:pPr>
          </w:p>
        </w:tc>
        <w:tc>
          <w:tcPr>
            <w:tcW w:w="1008" w:type="dxa"/>
            <w:tcBorders>
              <w:top w:val="single" w:color="auto" w:sz="6" w:space="0"/>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r>
        <w:tblPrEx>
          <w:tblCellMar>
            <w:top w:w="0" w:type="dxa"/>
            <w:left w:w="30" w:type="dxa"/>
            <w:bottom w:w="0" w:type="dxa"/>
            <w:right w:w="30" w:type="dxa"/>
          </w:tblCellMar>
        </w:tblPrEx>
        <w:trPr>
          <w:trHeight w:val="603"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p>
        </w:tc>
        <w:tc>
          <w:tcPr>
            <w:tcW w:w="1008" w:type="dxa"/>
            <w:vMerge w:val="restart"/>
            <w:tcBorders>
              <w:top w:val="single" w:color="auto" w:sz="6" w:space="0"/>
              <w:left w:val="single" w:color="auto" w:sz="6" w:space="0"/>
              <w:right w:val="single" w:color="auto" w:sz="6" w:space="0"/>
            </w:tcBorders>
            <w:noWrap w:val="0"/>
            <w:vAlign w:val="center"/>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24"/>
                <w:szCs w:val="24"/>
                <w:lang w:eastAsia="zh-CN"/>
              </w:rPr>
              <w:t>大小写应一致</w:t>
            </w:r>
          </w:p>
        </w:tc>
      </w:tr>
      <w:tr>
        <w:tblPrEx>
          <w:tblCellMar>
            <w:top w:w="0" w:type="dxa"/>
            <w:left w:w="30" w:type="dxa"/>
            <w:bottom w:w="0" w:type="dxa"/>
            <w:right w:w="30" w:type="dxa"/>
          </w:tblCellMar>
        </w:tblPrEx>
        <w:trPr>
          <w:trHeight w:val="637"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p>
        </w:tc>
        <w:tc>
          <w:tcPr>
            <w:tcW w:w="1008" w:type="dxa"/>
            <w:vMerge w:val="continue"/>
            <w:tcBorders>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bl>
    <w:p>
      <w:pPr>
        <w:spacing w:line="360" w:lineRule="auto"/>
        <w:ind w:firstLine="420"/>
        <w:rPr>
          <w:rFonts w:ascii="仿宋_GB2312" w:hAnsi="仿宋_GB2312" w:eastAsia="仿宋_GB2312" w:cs="Times New Roman"/>
          <w:sz w:val="32"/>
          <w:szCs w:val="32"/>
        </w:rPr>
      </w:pPr>
    </w:p>
    <w:p>
      <w:pPr>
        <w:spacing w:line="360" w:lineRule="auto"/>
        <w:ind w:firstLine="420"/>
        <w:rPr>
          <w:rFonts w:ascii="仿宋_GB2312" w:hAnsi="仿宋_GB2312" w:eastAsia="仿宋_GB2312" w:cs="Times New Roman"/>
          <w:sz w:val="32"/>
          <w:szCs w:val="32"/>
        </w:rPr>
      </w:pPr>
    </w:p>
    <w:p>
      <w:pPr>
        <w:spacing w:line="360" w:lineRule="auto"/>
        <w:rPr>
          <w:rFonts w:ascii="仿宋_GB2312" w:hAnsi="仿宋_GB2312" w:eastAsia="仿宋_GB2312" w:cs="Times New Roman"/>
          <w:sz w:val="32"/>
          <w:szCs w:val="32"/>
        </w:rPr>
      </w:pPr>
      <w:r>
        <w:rPr>
          <w:rFonts w:hint="eastAsia" w:ascii="仿宋_GB2312" w:hAnsi="仿宋_GB2312" w:eastAsia="仿宋_GB2312" w:cs="仿宋_GB2312"/>
          <w:color w:val="333333"/>
          <w:kern w:val="0"/>
          <w:sz w:val="32"/>
          <w:szCs w:val="32"/>
        </w:rPr>
        <w:t>联系人：</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rPr>
          <w:rFonts w:hint="eastAsia"/>
          <w:lang w:eastAsia="zh-CN"/>
        </w:rPr>
      </w:pPr>
      <w:r>
        <w:rPr>
          <w:rFonts w:hint="eastAsia"/>
          <w:lang w:eastAsia="zh-CN"/>
        </w:rPr>
        <w:t>附件二：</w:t>
      </w:r>
    </w:p>
    <w:tbl>
      <w:tblPr>
        <w:tblStyle w:val="5"/>
        <w:tblW w:w="14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416"/>
        <w:gridCol w:w="4295"/>
        <w:gridCol w:w="1617"/>
        <w:gridCol w:w="1488"/>
        <w:gridCol w:w="2179"/>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1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4295"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具体位置</w:t>
            </w:r>
          </w:p>
        </w:tc>
        <w:tc>
          <w:tcPr>
            <w:tcW w:w="161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拟出租建筑面积（平方米）</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年租金底价(元)</w:t>
            </w:r>
          </w:p>
        </w:tc>
        <w:tc>
          <w:tcPr>
            <w:tcW w:w="2179"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租赁期限</w:t>
            </w:r>
          </w:p>
        </w:tc>
        <w:tc>
          <w:tcPr>
            <w:tcW w:w="2261"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5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16"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5"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1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9"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1"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绍兴市妇幼保健院门诊楼二层圆大厅空地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1、经营内容为充电宝租赁服务。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2、充电宝设备必须符合国家质检标准，通过相关安全认证，设备应具备防护措施。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3、不得收集使用者个人一切相关信息。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4、充电宝设备及相关软件不得出现任何广告信息。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5、根据医院要求设置定时功能。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6、充电宝需适配所有手机型号，每小时上限价格不得超过4元，24小时上限价格不得超过16元。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7、具体位置以现场标识为准。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绍兴市妇幼保健院门诊楼三层圆大厅空地</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绍兴市妇幼保健院门诊楼四层圆大厅空地</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绍兴市妇幼保健院保健楼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绍兴市妇幼保健院保健楼一层候诊区空地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绍兴市妇幼保健院保健楼四层候诊区空地</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绍兴市妇幼保健院住院楼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绍兴市妇幼保健院住院楼四层麻醉手术部家属等候区空地</w:t>
            </w:r>
          </w:p>
        </w:tc>
        <w:tc>
          <w:tcPr>
            <w:tcW w:w="161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0.12 </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456" w:type="dxa"/>
            <w:tcBorders>
              <w:top w:val="single" w:color="000000"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绍兴市妇幼保健院生殖楼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绍兴市妇幼保健院生殖楼二层候诊区空地</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2"/>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954AE"/>
    <w:rsid w:val="1F3E033B"/>
    <w:rsid w:val="20021C5F"/>
    <w:rsid w:val="20911E86"/>
    <w:rsid w:val="35585C91"/>
    <w:rsid w:val="35CB3840"/>
    <w:rsid w:val="41B30921"/>
    <w:rsid w:val="52C822B9"/>
    <w:rsid w:val="65CA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dcterms:modified xsi:type="dcterms:W3CDTF">2024-10-31T06:13:27Z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