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A94F2A">
      <w:pPr>
        <w:jc w:val="center"/>
        <w:rPr>
          <w:sz w:val="36"/>
          <w:szCs w:val="44"/>
        </w:rPr>
      </w:pPr>
      <w:r>
        <w:rPr>
          <w:rFonts w:hint="eastAsia"/>
          <w:sz w:val="36"/>
          <w:szCs w:val="44"/>
        </w:rPr>
        <w:t>关于采购</w:t>
      </w:r>
      <w:r>
        <w:rPr>
          <w:rFonts w:hint="eastAsia"/>
          <w:sz w:val="36"/>
          <w:szCs w:val="44"/>
          <w:lang w:val="en-US" w:eastAsia="zh-CN"/>
        </w:rPr>
        <w:t>基因分析仪用耗材</w:t>
      </w:r>
      <w:r>
        <w:rPr>
          <w:rFonts w:hint="eastAsia"/>
          <w:sz w:val="36"/>
          <w:szCs w:val="44"/>
        </w:rPr>
        <w:t>的询价公告</w:t>
      </w:r>
    </w:p>
    <w:p w14:paraId="620ACA53">
      <w:pPr>
        <w:ind w:firstLine="480" w:firstLineChars="200"/>
        <w:rPr>
          <w:sz w:val="24"/>
        </w:rPr>
      </w:pPr>
    </w:p>
    <w:p w14:paraId="70D03A48">
      <w:pPr>
        <w:numPr>
          <w:ilvl w:val="0"/>
          <w:numId w:val="1"/>
        </w:numPr>
        <w:rPr>
          <w:rFonts w:hint="eastAsia"/>
          <w:sz w:val="24"/>
        </w:rPr>
      </w:pPr>
      <w:r>
        <w:rPr>
          <w:rFonts w:hint="eastAsia"/>
          <w:sz w:val="24"/>
        </w:rPr>
        <w:t>按照绍兴市妇幼保健院采购需求，医院设备科室对</w:t>
      </w:r>
      <w:r>
        <w:rPr>
          <w:rFonts w:hint="eastAsia"/>
          <w:sz w:val="24"/>
          <w:lang w:val="en-US" w:eastAsia="zh-CN"/>
        </w:rPr>
        <w:t>基因分析仪用耗材</w:t>
      </w:r>
      <w:r>
        <w:rPr>
          <w:rFonts w:hint="eastAsia"/>
          <w:sz w:val="24"/>
        </w:rPr>
        <w:t>采购项目进行询价，欢迎符合要求的供应商进行报价。</w:t>
      </w:r>
    </w:p>
    <w:p w14:paraId="3CA30432">
      <w:pPr>
        <w:numPr>
          <w:ilvl w:val="0"/>
          <w:numId w:val="1"/>
        </w:numPr>
        <w:rPr>
          <w:sz w:val="24"/>
        </w:rPr>
      </w:pPr>
      <w:r>
        <w:rPr>
          <w:rFonts w:hint="eastAsia"/>
          <w:sz w:val="24"/>
        </w:rPr>
        <w:t>项目名称：</w:t>
      </w:r>
      <w:r>
        <w:rPr>
          <w:rFonts w:hint="eastAsia"/>
          <w:sz w:val="24"/>
          <w:lang w:val="en-US" w:eastAsia="zh-CN"/>
        </w:rPr>
        <w:t>基因分析仪用耗材</w:t>
      </w:r>
    </w:p>
    <w:p w14:paraId="42F2FAAE">
      <w:pPr>
        <w:rPr>
          <w:sz w:val="24"/>
        </w:rPr>
      </w:pPr>
      <w:r>
        <w:rPr>
          <w:rFonts w:hint="eastAsia"/>
          <w:sz w:val="24"/>
        </w:rPr>
        <w:t>1.项目预算：</w:t>
      </w:r>
      <w:r>
        <w:rPr>
          <w:rFonts w:hint="eastAsia"/>
          <w:sz w:val="24"/>
          <w:lang w:val="en-US" w:eastAsia="zh-CN"/>
        </w:rPr>
        <w:t>9908</w:t>
      </w:r>
      <w:r>
        <w:rPr>
          <w:rFonts w:hint="eastAsia"/>
          <w:sz w:val="24"/>
        </w:rPr>
        <w:t>元</w:t>
      </w:r>
    </w:p>
    <w:p w14:paraId="44175723">
      <w:pPr>
        <w:rPr>
          <w:sz w:val="24"/>
        </w:rPr>
      </w:pPr>
      <w:r>
        <w:rPr>
          <w:rFonts w:hint="eastAsia"/>
          <w:sz w:val="24"/>
        </w:rPr>
        <w:t>2.询价项目概况（内容、用途、数量、简要技术要求等）:</w:t>
      </w:r>
    </w:p>
    <w:p w14:paraId="746FED1E">
      <w:pPr>
        <w:jc w:val="center"/>
        <w:rPr>
          <w:sz w:val="24"/>
        </w:rPr>
      </w:pPr>
      <w:r>
        <w:rPr>
          <w:rFonts w:hint="eastAsia"/>
          <w:sz w:val="24"/>
        </w:rPr>
        <w:t>报价清单</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08"/>
        <w:gridCol w:w="1480"/>
        <w:gridCol w:w="1407"/>
        <w:gridCol w:w="1408"/>
        <w:gridCol w:w="1410"/>
        <w:gridCol w:w="1409"/>
      </w:tblGrid>
      <w:tr w14:paraId="73ACF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8" w:type="dxa"/>
            <w:vAlign w:val="center"/>
          </w:tcPr>
          <w:p w14:paraId="2A556AC5">
            <w:pPr>
              <w:jc w:val="center"/>
              <w:rPr>
                <w:sz w:val="24"/>
              </w:rPr>
            </w:pPr>
            <w:r>
              <w:rPr>
                <w:rFonts w:hint="eastAsia"/>
                <w:sz w:val="24"/>
              </w:rPr>
              <w:t>产品名称</w:t>
            </w:r>
          </w:p>
        </w:tc>
        <w:tc>
          <w:tcPr>
            <w:tcW w:w="1480" w:type="dxa"/>
            <w:vAlign w:val="center"/>
          </w:tcPr>
          <w:p w14:paraId="320B2C94">
            <w:pPr>
              <w:jc w:val="center"/>
              <w:rPr>
                <w:sz w:val="24"/>
              </w:rPr>
            </w:pPr>
            <w:r>
              <w:rPr>
                <w:rFonts w:hint="eastAsia"/>
                <w:sz w:val="24"/>
              </w:rPr>
              <w:t>规格</w:t>
            </w:r>
          </w:p>
        </w:tc>
        <w:tc>
          <w:tcPr>
            <w:tcW w:w="1407" w:type="dxa"/>
            <w:vAlign w:val="center"/>
          </w:tcPr>
          <w:p w14:paraId="1C88FD7D">
            <w:pPr>
              <w:jc w:val="center"/>
              <w:rPr>
                <w:sz w:val="24"/>
              </w:rPr>
            </w:pPr>
            <w:r>
              <w:rPr>
                <w:rFonts w:hint="eastAsia"/>
                <w:sz w:val="24"/>
              </w:rPr>
              <w:t>省平台代码</w:t>
            </w:r>
          </w:p>
        </w:tc>
        <w:tc>
          <w:tcPr>
            <w:tcW w:w="1408" w:type="dxa"/>
            <w:vAlign w:val="center"/>
          </w:tcPr>
          <w:p w14:paraId="7E5BD2A2">
            <w:pPr>
              <w:jc w:val="center"/>
              <w:rPr>
                <w:sz w:val="24"/>
              </w:rPr>
            </w:pPr>
            <w:r>
              <w:rPr>
                <w:rFonts w:hint="eastAsia"/>
                <w:sz w:val="24"/>
              </w:rPr>
              <w:t>配送企业</w:t>
            </w:r>
          </w:p>
        </w:tc>
        <w:tc>
          <w:tcPr>
            <w:tcW w:w="1410" w:type="dxa"/>
            <w:vAlign w:val="center"/>
          </w:tcPr>
          <w:p w14:paraId="7C4854DB">
            <w:pPr>
              <w:jc w:val="center"/>
              <w:rPr>
                <w:sz w:val="24"/>
              </w:rPr>
            </w:pPr>
            <w:r>
              <w:rPr>
                <w:rFonts w:hint="eastAsia"/>
                <w:sz w:val="24"/>
              </w:rPr>
              <w:t>单价</w:t>
            </w:r>
          </w:p>
        </w:tc>
        <w:tc>
          <w:tcPr>
            <w:tcW w:w="1409" w:type="dxa"/>
            <w:vAlign w:val="center"/>
          </w:tcPr>
          <w:p w14:paraId="71A6E169">
            <w:pPr>
              <w:jc w:val="center"/>
              <w:rPr>
                <w:sz w:val="24"/>
              </w:rPr>
            </w:pPr>
            <w:r>
              <w:rPr>
                <w:rFonts w:hint="eastAsia"/>
                <w:sz w:val="24"/>
              </w:rPr>
              <w:t>数量</w:t>
            </w:r>
          </w:p>
        </w:tc>
      </w:tr>
      <w:tr w14:paraId="565BB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8" w:type="dxa"/>
            <w:vAlign w:val="center"/>
          </w:tcPr>
          <w:p w14:paraId="2F807DBE">
            <w:pPr>
              <w:jc w:val="center"/>
              <w:rPr>
                <w:sz w:val="24"/>
              </w:rPr>
            </w:pPr>
            <w:r>
              <w:rPr>
                <w:rFonts w:hint="eastAsia"/>
                <w:sz w:val="24"/>
              </w:rPr>
              <w:t>缓冲液 10X</w:t>
            </w:r>
          </w:p>
        </w:tc>
        <w:tc>
          <w:tcPr>
            <w:tcW w:w="1480" w:type="dxa"/>
            <w:vAlign w:val="center"/>
          </w:tcPr>
          <w:p w14:paraId="69263104">
            <w:pPr>
              <w:jc w:val="center"/>
              <w:rPr>
                <w:sz w:val="24"/>
              </w:rPr>
            </w:pPr>
            <w:r>
              <w:rPr>
                <w:rFonts w:hint="eastAsia"/>
                <w:sz w:val="24"/>
              </w:rPr>
              <w:t>500ml</w:t>
            </w:r>
          </w:p>
        </w:tc>
        <w:tc>
          <w:tcPr>
            <w:tcW w:w="1407" w:type="dxa"/>
            <w:vAlign w:val="center"/>
          </w:tcPr>
          <w:p w14:paraId="2CF2AD47">
            <w:pPr>
              <w:jc w:val="center"/>
              <w:rPr>
                <w:sz w:val="24"/>
              </w:rPr>
            </w:pPr>
          </w:p>
        </w:tc>
        <w:tc>
          <w:tcPr>
            <w:tcW w:w="1408" w:type="dxa"/>
            <w:vAlign w:val="center"/>
          </w:tcPr>
          <w:p w14:paraId="328B8EB0">
            <w:pPr>
              <w:jc w:val="center"/>
              <w:rPr>
                <w:sz w:val="24"/>
              </w:rPr>
            </w:pPr>
          </w:p>
        </w:tc>
        <w:tc>
          <w:tcPr>
            <w:tcW w:w="1410" w:type="dxa"/>
            <w:vAlign w:val="center"/>
          </w:tcPr>
          <w:p w14:paraId="63C5F15B">
            <w:pPr>
              <w:jc w:val="center"/>
              <w:rPr>
                <w:rFonts w:hint="default" w:eastAsiaTheme="minorEastAsia"/>
                <w:sz w:val="24"/>
                <w:lang w:val="en-US" w:eastAsia="zh-CN"/>
              </w:rPr>
            </w:pPr>
            <w:r>
              <w:rPr>
                <w:rFonts w:hint="eastAsia"/>
                <w:sz w:val="24"/>
                <w:lang w:val="en-US" w:eastAsia="zh-CN"/>
              </w:rPr>
              <w:t>1650</w:t>
            </w:r>
          </w:p>
        </w:tc>
        <w:tc>
          <w:tcPr>
            <w:tcW w:w="1409" w:type="dxa"/>
            <w:vAlign w:val="center"/>
          </w:tcPr>
          <w:p w14:paraId="4CFE28C8">
            <w:pPr>
              <w:jc w:val="center"/>
              <w:rPr>
                <w:rFonts w:hint="eastAsia" w:eastAsiaTheme="minorEastAsia"/>
                <w:sz w:val="24"/>
                <w:lang w:eastAsia="zh-CN"/>
              </w:rPr>
            </w:pPr>
            <w:r>
              <w:rPr>
                <w:rFonts w:hint="eastAsia"/>
                <w:sz w:val="24"/>
                <w:lang w:val="en-US" w:eastAsia="zh-CN"/>
              </w:rPr>
              <w:t>2</w:t>
            </w:r>
          </w:p>
        </w:tc>
      </w:tr>
      <w:tr w14:paraId="68CF5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8" w:type="dxa"/>
            <w:vAlign w:val="center"/>
          </w:tcPr>
          <w:p w14:paraId="7880056D">
            <w:pPr>
              <w:jc w:val="center"/>
              <w:rPr>
                <w:rFonts w:hint="eastAsia"/>
                <w:sz w:val="24"/>
              </w:rPr>
            </w:pPr>
            <w:r>
              <w:rPr>
                <w:rFonts w:hint="eastAsia"/>
                <w:sz w:val="24"/>
              </w:rPr>
              <w:t>HD 甲酰胺</w:t>
            </w:r>
          </w:p>
        </w:tc>
        <w:tc>
          <w:tcPr>
            <w:tcW w:w="1480" w:type="dxa"/>
            <w:vAlign w:val="center"/>
          </w:tcPr>
          <w:p w14:paraId="78A8A8DF">
            <w:pPr>
              <w:jc w:val="center"/>
              <w:rPr>
                <w:rFonts w:hint="eastAsia"/>
                <w:sz w:val="24"/>
              </w:rPr>
            </w:pPr>
            <w:r>
              <w:rPr>
                <w:rFonts w:hint="eastAsia"/>
                <w:sz w:val="24"/>
              </w:rPr>
              <w:t>25ml</w:t>
            </w:r>
          </w:p>
        </w:tc>
        <w:tc>
          <w:tcPr>
            <w:tcW w:w="1407" w:type="dxa"/>
            <w:vAlign w:val="center"/>
          </w:tcPr>
          <w:p w14:paraId="65F83BC1">
            <w:pPr>
              <w:jc w:val="center"/>
              <w:rPr>
                <w:sz w:val="24"/>
              </w:rPr>
            </w:pPr>
          </w:p>
        </w:tc>
        <w:tc>
          <w:tcPr>
            <w:tcW w:w="1408" w:type="dxa"/>
            <w:vAlign w:val="center"/>
          </w:tcPr>
          <w:p w14:paraId="242D8887">
            <w:pPr>
              <w:jc w:val="center"/>
              <w:rPr>
                <w:sz w:val="24"/>
              </w:rPr>
            </w:pPr>
          </w:p>
        </w:tc>
        <w:tc>
          <w:tcPr>
            <w:tcW w:w="1410" w:type="dxa"/>
            <w:vAlign w:val="center"/>
          </w:tcPr>
          <w:p w14:paraId="2EF79832">
            <w:pPr>
              <w:jc w:val="center"/>
              <w:rPr>
                <w:rFonts w:hint="default"/>
                <w:sz w:val="24"/>
                <w:lang w:val="en-US" w:eastAsia="zh-CN"/>
              </w:rPr>
            </w:pPr>
            <w:r>
              <w:rPr>
                <w:rFonts w:hint="eastAsia"/>
                <w:sz w:val="24"/>
                <w:lang w:val="en-US" w:eastAsia="zh-CN"/>
              </w:rPr>
              <w:t>351</w:t>
            </w:r>
          </w:p>
        </w:tc>
        <w:tc>
          <w:tcPr>
            <w:tcW w:w="1409" w:type="dxa"/>
            <w:vAlign w:val="center"/>
          </w:tcPr>
          <w:p w14:paraId="7A2D81C3">
            <w:pPr>
              <w:jc w:val="center"/>
              <w:rPr>
                <w:rFonts w:hint="default"/>
                <w:sz w:val="24"/>
                <w:lang w:val="en-US" w:eastAsia="zh-CN"/>
              </w:rPr>
            </w:pPr>
            <w:r>
              <w:rPr>
                <w:rFonts w:hint="eastAsia"/>
                <w:sz w:val="24"/>
                <w:lang w:val="en-US" w:eastAsia="zh-CN"/>
              </w:rPr>
              <w:t>8</w:t>
            </w:r>
          </w:p>
        </w:tc>
      </w:tr>
      <w:tr w14:paraId="217E8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8" w:type="dxa"/>
            <w:vAlign w:val="center"/>
          </w:tcPr>
          <w:p w14:paraId="132AE605">
            <w:pPr>
              <w:jc w:val="center"/>
              <w:rPr>
                <w:rFonts w:hint="eastAsia"/>
                <w:sz w:val="24"/>
              </w:rPr>
            </w:pPr>
            <w:r>
              <w:rPr>
                <w:rFonts w:hint="eastAsia"/>
                <w:sz w:val="24"/>
              </w:rPr>
              <w:t>高分子分离胶</w:t>
            </w:r>
          </w:p>
        </w:tc>
        <w:tc>
          <w:tcPr>
            <w:tcW w:w="1480" w:type="dxa"/>
            <w:vAlign w:val="center"/>
          </w:tcPr>
          <w:p w14:paraId="7933AA68">
            <w:pPr>
              <w:jc w:val="center"/>
              <w:rPr>
                <w:rFonts w:hint="eastAsia"/>
                <w:sz w:val="24"/>
              </w:rPr>
            </w:pPr>
            <w:r>
              <w:rPr>
                <w:rFonts w:hint="eastAsia"/>
                <w:sz w:val="24"/>
              </w:rPr>
              <w:t>28ml</w:t>
            </w:r>
          </w:p>
        </w:tc>
        <w:tc>
          <w:tcPr>
            <w:tcW w:w="1407" w:type="dxa"/>
            <w:vAlign w:val="center"/>
          </w:tcPr>
          <w:p w14:paraId="25054064">
            <w:pPr>
              <w:jc w:val="center"/>
              <w:rPr>
                <w:sz w:val="24"/>
              </w:rPr>
            </w:pPr>
          </w:p>
        </w:tc>
        <w:tc>
          <w:tcPr>
            <w:tcW w:w="1408" w:type="dxa"/>
            <w:vAlign w:val="center"/>
          </w:tcPr>
          <w:p w14:paraId="3AF2B400">
            <w:pPr>
              <w:jc w:val="center"/>
              <w:rPr>
                <w:sz w:val="24"/>
              </w:rPr>
            </w:pPr>
          </w:p>
        </w:tc>
        <w:tc>
          <w:tcPr>
            <w:tcW w:w="1410" w:type="dxa"/>
            <w:vAlign w:val="center"/>
          </w:tcPr>
          <w:p w14:paraId="799C0D69">
            <w:pPr>
              <w:jc w:val="center"/>
              <w:rPr>
                <w:rFonts w:hint="default"/>
                <w:sz w:val="24"/>
                <w:lang w:val="en-US" w:eastAsia="zh-CN"/>
              </w:rPr>
            </w:pPr>
            <w:r>
              <w:rPr>
                <w:rFonts w:hint="eastAsia"/>
                <w:sz w:val="24"/>
                <w:lang w:val="en-US" w:eastAsia="zh-CN"/>
              </w:rPr>
              <w:t>1900</w:t>
            </w:r>
          </w:p>
        </w:tc>
        <w:tc>
          <w:tcPr>
            <w:tcW w:w="1409" w:type="dxa"/>
            <w:vAlign w:val="center"/>
          </w:tcPr>
          <w:p w14:paraId="63EE4CE7">
            <w:pPr>
              <w:jc w:val="center"/>
              <w:rPr>
                <w:rFonts w:hint="default"/>
                <w:sz w:val="24"/>
                <w:lang w:val="en-US" w:eastAsia="zh-CN"/>
              </w:rPr>
            </w:pPr>
            <w:r>
              <w:rPr>
                <w:rFonts w:hint="eastAsia"/>
                <w:sz w:val="24"/>
                <w:lang w:val="en-US" w:eastAsia="zh-CN"/>
              </w:rPr>
              <w:t>2</w:t>
            </w:r>
          </w:p>
        </w:tc>
      </w:tr>
    </w:tbl>
    <w:p w14:paraId="4C99F2BD">
      <w:pPr>
        <w:rPr>
          <w:rFonts w:hint="default"/>
          <w:sz w:val="24"/>
          <w:lang w:val="en-US" w:eastAsia="zh-CN"/>
        </w:rPr>
      </w:pPr>
      <w:r>
        <w:rPr>
          <w:rFonts w:hint="eastAsia"/>
          <w:sz w:val="24"/>
        </w:rPr>
        <w:t>技术要求：适配</w:t>
      </w:r>
      <w:r>
        <w:rPr>
          <w:rFonts w:hint="eastAsia"/>
          <w:sz w:val="24"/>
          <w:lang w:val="en-US" w:eastAsia="zh-CN"/>
        </w:rPr>
        <w:t>南京溯远基因科技有限公司的基因分析仪型号Classic108</w:t>
      </w:r>
    </w:p>
    <w:p w14:paraId="528CC828">
      <w:pPr>
        <w:rPr>
          <w:sz w:val="24"/>
        </w:rPr>
      </w:pPr>
      <w:r>
        <w:rPr>
          <w:rFonts w:hint="eastAsia"/>
          <w:sz w:val="24"/>
        </w:rPr>
        <w:t>三、供应商：</w:t>
      </w:r>
    </w:p>
    <w:p w14:paraId="4C2B2C59">
      <w:pPr>
        <w:rPr>
          <w:sz w:val="24"/>
        </w:rPr>
      </w:pPr>
      <w:r>
        <w:rPr>
          <w:rFonts w:hint="eastAsia"/>
          <w:sz w:val="24"/>
        </w:rPr>
        <w:t>1、具有独立承担民事责任的能力。</w:t>
      </w:r>
    </w:p>
    <w:p w14:paraId="62FC6F59">
      <w:pPr>
        <w:rPr>
          <w:sz w:val="24"/>
        </w:rPr>
      </w:pPr>
      <w:r>
        <w:rPr>
          <w:rFonts w:hint="eastAsia"/>
          <w:sz w:val="24"/>
        </w:rPr>
        <w:t>2、参加政府采购活动前3年内，在经营活动中没有重大违法记录。</w:t>
      </w:r>
    </w:p>
    <w:p w14:paraId="003FA7B8">
      <w:pPr>
        <w:rPr>
          <w:sz w:val="24"/>
        </w:rPr>
      </w:pPr>
      <w:r>
        <w:rPr>
          <w:rFonts w:hint="eastAsia"/>
          <w:sz w:val="24"/>
        </w:rPr>
        <w:t>3、供应商有效期内营业执照经营范围应包含提供医疗耗材的内容。</w:t>
      </w:r>
    </w:p>
    <w:p w14:paraId="71F1F827">
      <w:pPr>
        <w:rPr>
          <w:sz w:val="24"/>
        </w:rPr>
      </w:pPr>
      <w:r>
        <w:rPr>
          <w:rFonts w:hint="eastAsia"/>
          <w:sz w:val="24"/>
        </w:rPr>
        <w:t>4、供应商须具备具有经营许可证，授权书，产品注册证等相关证件。</w:t>
      </w:r>
    </w:p>
    <w:p w14:paraId="6C2CF14D">
      <w:pPr>
        <w:rPr>
          <w:sz w:val="24"/>
        </w:rPr>
      </w:pPr>
      <w:r>
        <w:rPr>
          <w:rFonts w:hint="eastAsia"/>
          <w:sz w:val="24"/>
        </w:rPr>
        <w:t>四、报价文件：</w:t>
      </w:r>
    </w:p>
    <w:p w14:paraId="18CC3B5C">
      <w:pPr>
        <w:rPr>
          <w:sz w:val="24"/>
        </w:rPr>
      </w:pPr>
      <w:r>
        <w:rPr>
          <w:rFonts w:hint="eastAsia"/>
          <w:sz w:val="24"/>
        </w:rPr>
        <w:t> 1、报价须带文件资料:①营业执照、②法人身份证等相关复印件、③业务员参加的须提供授权委托书和业务员身份证复印件、④报价单。以上资料必须齐全并加盖单位公章，否则该报价文件作无效处理。</w:t>
      </w:r>
    </w:p>
    <w:p w14:paraId="2D9E1D71">
      <w:pPr>
        <w:rPr>
          <w:sz w:val="24"/>
        </w:rPr>
      </w:pPr>
      <w:r>
        <w:rPr>
          <w:rFonts w:hint="eastAsia"/>
          <w:sz w:val="24"/>
        </w:rPr>
        <w:t>2、报价文件递交截止时间：2025年2月</w:t>
      </w:r>
      <w:r>
        <w:rPr>
          <w:rFonts w:hint="eastAsia"/>
          <w:sz w:val="24"/>
          <w:lang w:val="en-US" w:eastAsia="zh-CN"/>
        </w:rPr>
        <w:t>27</w:t>
      </w:r>
      <w:r>
        <w:rPr>
          <w:rFonts w:hint="eastAsia"/>
          <w:sz w:val="24"/>
        </w:rPr>
        <w:t>日北京时间12时，在截止时间后送达的响应文件为无效文件，拒绝接收。</w:t>
      </w:r>
    </w:p>
    <w:p w14:paraId="6386AE5E">
      <w:pPr>
        <w:rPr>
          <w:sz w:val="24"/>
        </w:rPr>
      </w:pPr>
      <w:r>
        <w:rPr>
          <w:rFonts w:hint="eastAsia"/>
          <w:sz w:val="24"/>
        </w:rPr>
        <w:t>3、报价文件报送方式：密封后送达绍兴市妇幼保健院设备科，密封袋表面必须标注此项目名称。</w:t>
      </w:r>
    </w:p>
    <w:p w14:paraId="57ADDFDC">
      <w:pPr>
        <w:rPr>
          <w:sz w:val="24"/>
        </w:rPr>
      </w:pPr>
      <w:r>
        <w:rPr>
          <w:rFonts w:hint="eastAsia"/>
          <w:sz w:val="24"/>
        </w:rPr>
        <w:t>六、评定成交标准：</w:t>
      </w:r>
    </w:p>
    <w:p w14:paraId="058BB015">
      <w:pPr>
        <w:rPr>
          <w:sz w:val="24"/>
        </w:rPr>
      </w:pPr>
      <w:r>
        <w:rPr>
          <w:rFonts w:hint="eastAsia"/>
          <w:sz w:val="24"/>
        </w:rPr>
        <w:t>根据质量和服务均能满足询价文件实质性响应要求且报价最低的原则确定成交供应商。</w:t>
      </w:r>
    </w:p>
    <w:p w14:paraId="0A2F1381">
      <w:pPr>
        <w:rPr>
          <w:sz w:val="24"/>
        </w:rPr>
      </w:pPr>
      <w:r>
        <w:rPr>
          <w:rFonts w:hint="eastAsia"/>
          <w:sz w:val="24"/>
        </w:rPr>
        <w:t>七、联系方式：</w:t>
      </w:r>
    </w:p>
    <w:p w14:paraId="5335451A">
      <w:pPr>
        <w:rPr>
          <w:sz w:val="24"/>
        </w:rPr>
      </w:pPr>
      <w:r>
        <w:rPr>
          <w:rFonts w:hint="eastAsia"/>
          <w:sz w:val="24"/>
        </w:rPr>
        <w:t>联系人： 杨老师                           联系电话：0575-88214103</w:t>
      </w:r>
      <w:bookmarkStart w:id="0" w:name="_GoBack"/>
      <w:bookmarkEnd w:id="0"/>
    </w:p>
    <w:p w14:paraId="547A930D">
      <w:pPr>
        <w:ind w:left="1200" w:hanging="1200" w:hangingChars="500"/>
        <w:rPr>
          <w:sz w:val="24"/>
        </w:rPr>
      </w:pPr>
      <w:r>
        <w:rPr>
          <w:rFonts w:hint="eastAsia"/>
          <w:sz w:val="24"/>
        </w:rPr>
        <w:t>联系地址：浙江省绍兴市越城区凤林东路222号绍兴市妇幼保健院</w:t>
      </w:r>
    </w:p>
    <w:p w14:paraId="21D49D1A">
      <w:pPr>
        <w:ind w:left="1197" w:leftChars="570"/>
        <w:rPr>
          <w:sz w:val="24"/>
        </w:rPr>
      </w:pPr>
      <w:r>
        <w:rPr>
          <w:rFonts w:hint="eastAsia"/>
          <w:sz w:val="24"/>
        </w:rPr>
        <w:t>生殖楼一楼设备仓库办公室</w:t>
      </w:r>
    </w:p>
    <w:p w14:paraId="5D23FD3E">
      <w:pPr>
        <w:rPr>
          <w:sz w:val="24"/>
        </w:rPr>
      </w:pPr>
    </w:p>
    <w:p w14:paraId="2F9072E5">
      <w:pPr>
        <w:jc w:val="right"/>
        <w:rPr>
          <w:sz w:val="24"/>
        </w:rPr>
      </w:pPr>
      <w:r>
        <w:rPr>
          <w:rFonts w:hint="eastAsia"/>
          <w:sz w:val="24"/>
        </w:rPr>
        <w:t>                                                               绍兴市妇幼保健院</w:t>
      </w:r>
    </w:p>
    <w:p w14:paraId="6D9F589B">
      <w:pPr>
        <w:ind w:right="480" w:firstLine="5880" w:firstLineChars="2450"/>
      </w:pPr>
      <w:r>
        <w:rPr>
          <w:rFonts w:hint="eastAsia"/>
          <w:sz w:val="24"/>
        </w:rPr>
        <w:t>2025年2月</w:t>
      </w:r>
      <w:r>
        <w:rPr>
          <w:rFonts w:hint="eastAsia"/>
          <w:sz w:val="24"/>
          <w:lang w:val="en-US" w:eastAsia="zh-CN"/>
        </w:rPr>
        <w:t>24</w:t>
      </w:r>
      <w:r>
        <w:rPr>
          <w:rFonts w:hint="eastAsia"/>
          <w:sz w:val="24"/>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5F00BF4"/>
    <w:multiLevelType w:val="singleLevel"/>
    <w:tmpl w:val="D5F00BF4"/>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TFiMThjMmEzZWE1Yjc3MjM0YTBkMDJlOWZiMGNhMWQifQ=="/>
  </w:docVars>
  <w:rsids>
    <w:rsidRoot w:val="00E72C5E"/>
    <w:rsid w:val="00027B78"/>
    <w:rsid w:val="001D75A1"/>
    <w:rsid w:val="00326332"/>
    <w:rsid w:val="003F2A0A"/>
    <w:rsid w:val="0051231F"/>
    <w:rsid w:val="006F1204"/>
    <w:rsid w:val="00732968"/>
    <w:rsid w:val="00C86779"/>
    <w:rsid w:val="00D16CAA"/>
    <w:rsid w:val="00DE5E23"/>
    <w:rsid w:val="00E72C5E"/>
    <w:rsid w:val="00E96DC0"/>
    <w:rsid w:val="00ED4DAF"/>
    <w:rsid w:val="096C1039"/>
    <w:rsid w:val="12806CE0"/>
    <w:rsid w:val="16C50CD8"/>
    <w:rsid w:val="1BB24629"/>
    <w:rsid w:val="1BB65DD6"/>
    <w:rsid w:val="1DCD64DE"/>
    <w:rsid w:val="1F741C30"/>
    <w:rsid w:val="232634BA"/>
    <w:rsid w:val="26147FE5"/>
    <w:rsid w:val="299437F6"/>
    <w:rsid w:val="334927DE"/>
    <w:rsid w:val="44C34068"/>
    <w:rsid w:val="45D25D77"/>
    <w:rsid w:val="4B780BB6"/>
    <w:rsid w:val="52402DF9"/>
    <w:rsid w:val="5C18481B"/>
    <w:rsid w:val="5FAC404F"/>
    <w:rsid w:val="64BD6692"/>
    <w:rsid w:val="660414B7"/>
    <w:rsid w:val="6E70546D"/>
    <w:rsid w:val="7D935F5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28"/>
    <w:qFormat/>
    <w:uiPriority w:val="0"/>
    <w:pPr>
      <w:tabs>
        <w:tab w:val="center" w:pos="4153"/>
        <w:tab w:val="right" w:pos="8306"/>
      </w:tabs>
      <w:snapToGrid w:val="0"/>
      <w:jc w:val="left"/>
    </w:pPr>
    <w:rPr>
      <w:sz w:val="18"/>
      <w:szCs w:val="18"/>
    </w:rPr>
  </w:style>
  <w:style w:type="paragraph" w:styleId="3">
    <w:name w:val="header"/>
    <w:basedOn w:val="1"/>
    <w:link w:val="27"/>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7">
    <w:name w:val="FollowedHyperlink"/>
    <w:basedOn w:val="6"/>
    <w:autoRedefine/>
    <w:qFormat/>
    <w:uiPriority w:val="0"/>
    <w:rPr>
      <w:color w:val="3366CC"/>
      <w:sz w:val="18"/>
      <w:szCs w:val="18"/>
      <w:u w:val="none"/>
    </w:rPr>
  </w:style>
  <w:style w:type="character" w:styleId="8">
    <w:name w:val="Emphasis"/>
    <w:basedOn w:val="6"/>
    <w:autoRedefine/>
    <w:qFormat/>
    <w:uiPriority w:val="0"/>
  </w:style>
  <w:style w:type="character" w:styleId="9">
    <w:name w:val="HTML Definition"/>
    <w:basedOn w:val="6"/>
    <w:autoRedefine/>
    <w:qFormat/>
    <w:uiPriority w:val="0"/>
  </w:style>
  <w:style w:type="character" w:styleId="10">
    <w:name w:val="HTML Variable"/>
    <w:basedOn w:val="6"/>
    <w:autoRedefine/>
    <w:qFormat/>
    <w:uiPriority w:val="0"/>
  </w:style>
  <w:style w:type="character" w:styleId="11">
    <w:name w:val="Hyperlink"/>
    <w:basedOn w:val="6"/>
    <w:autoRedefine/>
    <w:qFormat/>
    <w:uiPriority w:val="0"/>
    <w:rPr>
      <w:color w:val="3366CC"/>
      <w:sz w:val="18"/>
      <w:szCs w:val="18"/>
      <w:u w:val="none"/>
    </w:rPr>
  </w:style>
  <w:style w:type="character" w:styleId="12">
    <w:name w:val="HTML Cite"/>
    <w:basedOn w:val="6"/>
    <w:autoRedefine/>
    <w:qFormat/>
    <w:uiPriority w:val="0"/>
  </w:style>
  <w:style w:type="character" w:customStyle="1" w:styleId="13">
    <w:name w:val="l-btn-left"/>
    <w:basedOn w:val="6"/>
    <w:autoRedefine/>
    <w:qFormat/>
    <w:uiPriority w:val="0"/>
    <w:rPr>
      <w:color w:val="01335C"/>
    </w:rPr>
  </w:style>
  <w:style w:type="character" w:customStyle="1" w:styleId="14">
    <w:name w:val="l-btn-left1"/>
    <w:basedOn w:val="6"/>
    <w:autoRedefine/>
    <w:qFormat/>
    <w:uiPriority w:val="0"/>
  </w:style>
  <w:style w:type="character" w:customStyle="1" w:styleId="15">
    <w:name w:val="l-btn-left2"/>
    <w:basedOn w:val="6"/>
    <w:autoRedefine/>
    <w:qFormat/>
    <w:uiPriority w:val="0"/>
  </w:style>
  <w:style w:type="character" w:customStyle="1" w:styleId="16">
    <w:name w:val="l-btn-left3"/>
    <w:basedOn w:val="6"/>
    <w:autoRedefine/>
    <w:qFormat/>
    <w:uiPriority w:val="0"/>
  </w:style>
  <w:style w:type="character" w:customStyle="1" w:styleId="17">
    <w:name w:val="ui-icon26"/>
    <w:basedOn w:val="6"/>
    <w:autoRedefine/>
    <w:qFormat/>
    <w:uiPriority w:val="0"/>
  </w:style>
  <w:style w:type="character" w:customStyle="1" w:styleId="18">
    <w:name w:val="button"/>
    <w:basedOn w:val="6"/>
    <w:autoRedefine/>
    <w:qFormat/>
    <w:uiPriority w:val="0"/>
  </w:style>
  <w:style w:type="character" w:customStyle="1" w:styleId="19">
    <w:name w:val="l-btn-text"/>
    <w:basedOn w:val="6"/>
    <w:qFormat/>
    <w:uiPriority w:val="0"/>
  </w:style>
  <w:style w:type="character" w:customStyle="1" w:styleId="20">
    <w:name w:val="l-btn-empty"/>
    <w:basedOn w:val="6"/>
    <w:autoRedefine/>
    <w:qFormat/>
    <w:uiPriority w:val="0"/>
  </w:style>
  <w:style w:type="character" w:customStyle="1" w:styleId="21">
    <w:name w:val="tmpztreemove_arrow"/>
    <w:basedOn w:val="6"/>
    <w:autoRedefine/>
    <w:qFormat/>
    <w:uiPriority w:val="0"/>
  </w:style>
  <w:style w:type="character" w:customStyle="1" w:styleId="22">
    <w:name w:val="disabled"/>
    <w:basedOn w:val="6"/>
    <w:autoRedefine/>
    <w:qFormat/>
    <w:uiPriority w:val="0"/>
  </w:style>
  <w:style w:type="character" w:customStyle="1" w:styleId="23">
    <w:name w:val="ui-icon25"/>
    <w:basedOn w:val="6"/>
    <w:autoRedefine/>
    <w:qFormat/>
    <w:uiPriority w:val="0"/>
  </w:style>
  <w:style w:type="character" w:customStyle="1" w:styleId="24">
    <w:name w:val="ui-icon"/>
    <w:basedOn w:val="6"/>
    <w:autoRedefine/>
    <w:qFormat/>
    <w:uiPriority w:val="0"/>
  </w:style>
  <w:style w:type="character" w:customStyle="1" w:styleId="25">
    <w:name w:val="ui-icon21"/>
    <w:basedOn w:val="6"/>
    <w:autoRedefine/>
    <w:qFormat/>
    <w:uiPriority w:val="0"/>
  </w:style>
  <w:style w:type="character" w:customStyle="1" w:styleId="26">
    <w:name w:val="ui-icon23"/>
    <w:basedOn w:val="6"/>
    <w:autoRedefine/>
    <w:qFormat/>
    <w:uiPriority w:val="0"/>
  </w:style>
  <w:style w:type="character" w:customStyle="1" w:styleId="27">
    <w:name w:val="页眉 Char"/>
    <w:basedOn w:val="6"/>
    <w:link w:val="3"/>
    <w:uiPriority w:val="0"/>
    <w:rPr>
      <w:rFonts w:asciiTheme="minorHAnsi" w:hAnsiTheme="minorHAnsi" w:eastAsiaTheme="minorEastAsia" w:cstheme="minorBidi"/>
      <w:kern w:val="2"/>
      <w:sz w:val="18"/>
      <w:szCs w:val="18"/>
    </w:rPr>
  </w:style>
  <w:style w:type="character" w:customStyle="1" w:styleId="28">
    <w:name w:val="页脚 Char"/>
    <w:basedOn w:val="6"/>
    <w:link w:val="2"/>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Pages>
  <Words>620</Words>
  <Characters>674</Characters>
  <Lines>5</Lines>
  <Paragraphs>1</Paragraphs>
  <TotalTime>11</TotalTime>
  <ScaleCrop>false</ScaleCrop>
  <LinksUpToDate>false</LinksUpToDate>
  <CharactersWithSpaces>767</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2022-07-26T06:59:00Z</dcterms:created>
  <dc:creator>Administrator</dc:creator>
  <cp:lastModifiedBy>Administrator</cp:lastModifiedBy>
  <cp:lastPrinted>2022-08-01T02:14:00Z</cp:lastPrinted>
  <dcterms:modified xsi:type="dcterms:W3CDTF">2025-02-24T01:44:35Z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5A448FF4E5D74E5B8E6C39D4DB681542_13</vt:lpwstr>
  </property>
  <property fmtid="{D5CDD505-2E9C-101B-9397-08002B2CF9AE}" pid="4" name="KSOTemplateDocerSaveRecord">
    <vt:lpwstr>eyJoZGlkIjoiOWNiN2FhMWY1ZmQzMDlmMjU3YTJlODNiZTQwZDM2MTUifQ==</vt:lpwstr>
  </property>
</Properties>
</file>