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E2AEE">
      <w:pPr>
        <w:jc w:val="center"/>
        <w:rPr>
          <w:sz w:val="36"/>
          <w:szCs w:val="44"/>
        </w:rPr>
      </w:pPr>
      <w:r>
        <w:rPr>
          <w:rFonts w:hint="eastAsia"/>
          <w:sz w:val="36"/>
          <w:szCs w:val="44"/>
        </w:rPr>
        <w:t>关于过氧化氢快速判读式生物指示剂采购的询价公告</w:t>
      </w:r>
    </w:p>
    <w:p w14:paraId="03C3AD1E">
      <w:pPr>
        <w:ind w:firstLine="480" w:firstLineChars="200"/>
        <w:rPr>
          <w:sz w:val="24"/>
        </w:rPr>
      </w:pPr>
    </w:p>
    <w:p w14:paraId="1C97CF3D">
      <w:pPr>
        <w:numPr>
          <w:ilvl w:val="0"/>
          <w:numId w:val="1"/>
        </w:numPr>
        <w:rPr>
          <w:sz w:val="24"/>
        </w:rPr>
      </w:pPr>
      <w:r>
        <w:rPr>
          <w:rFonts w:hint="eastAsia"/>
          <w:sz w:val="24"/>
        </w:rPr>
        <w:t>按照绍兴市妇幼保健院采购需求，医院设备科室对过氧化氢快速判读式生物指示剂采购项目进行询价，欢迎符合要求的供应商进行报价。</w:t>
      </w:r>
    </w:p>
    <w:p w14:paraId="102BB05E">
      <w:pPr>
        <w:numPr>
          <w:ilvl w:val="0"/>
          <w:numId w:val="1"/>
        </w:numPr>
        <w:rPr>
          <w:sz w:val="24"/>
        </w:rPr>
      </w:pPr>
      <w:r>
        <w:rPr>
          <w:rFonts w:hint="eastAsia"/>
          <w:sz w:val="24"/>
        </w:rPr>
        <w:t>项目名称：过氧化氢快速判读式生物指示剂</w:t>
      </w:r>
    </w:p>
    <w:p w14:paraId="09B92195">
      <w:pPr>
        <w:rPr>
          <w:sz w:val="24"/>
        </w:rPr>
      </w:pPr>
      <w:r>
        <w:rPr>
          <w:rFonts w:hint="eastAsia"/>
          <w:sz w:val="24"/>
        </w:rPr>
        <w:t>1.项目预算：46530元</w:t>
      </w:r>
    </w:p>
    <w:p w14:paraId="2BFC0EBF">
      <w:pPr>
        <w:rPr>
          <w:sz w:val="24"/>
        </w:rPr>
      </w:pPr>
      <w:r>
        <w:rPr>
          <w:rFonts w:hint="eastAsia"/>
          <w:sz w:val="24"/>
        </w:rPr>
        <w:t>2.询价项目概况（内容、用途、数量、简要技术要求等）:</w:t>
      </w:r>
    </w:p>
    <w:p w14:paraId="071FC167">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2FCF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1EC94992">
            <w:pPr>
              <w:jc w:val="center"/>
              <w:rPr>
                <w:sz w:val="24"/>
              </w:rPr>
            </w:pPr>
            <w:r>
              <w:rPr>
                <w:rFonts w:hint="eastAsia"/>
                <w:sz w:val="24"/>
              </w:rPr>
              <w:t>产品名称</w:t>
            </w:r>
          </w:p>
        </w:tc>
        <w:tc>
          <w:tcPr>
            <w:tcW w:w="1419" w:type="dxa"/>
            <w:vAlign w:val="center"/>
          </w:tcPr>
          <w:p w14:paraId="4E2A6F23">
            <w:pPr>
              <w:jc w:val="center"/>
              <w:rPr>
                <w:sz w:val="24"/>
              </w:rPr>
            </w:pPr>
            <w:r>
              <w:rPr>
                <w:rFonts w:hint="eastAsia"/>
                <w:sz w:val="24"/>
              </w:rPr>
              <w:t>规格</w:t>
            </w:r>
          </w:p>
        </w:tc>
        <w:tc>
          <w:tcPr>
            <w:tcW w:w="1419" w:type="dxa"/>
            <w:vAlign w:val="center"/>
          </w:tcPr>
          <w:p w14:paraId="4E8B6464">
            <w:pPr>
              <w:jc w:val="center"/>
              <w:rPr>
                <w:sz w:val="24"/>
              </w:rPr>
            </w:pPr>
            <w:r>
              <w:rPr>
                <w:rFonts w:hint="eastAsia"/>
                <w:sz w:val="24"/>
              </w:rPr>
              <w:t>省平台代码</w:t>
            </w:r>
          </w:p>
        </w:tc>
        <w:tc>
          <w:tcPr>
            <w:tcW w:w="1420" w:type="dxa"/>
            <w:vAlign w:val="center"/>
          </w:tcPr>
          <w:p w14:paraId="198FA765">
            <w:pPr>
              <w:jc w:val="center"/>
              <w:rPr>
                <w:sz w:val="24"/>
              </w:rPr>
            </w:pPr>
            <w:r>
              <w:rPr>
                <w:rFonts w:hint="eastAsia"/>
                <w:sz w:val="24"/>
              </w:rPr>
              <w:t>配送企业</w:t>
            </w:r>
          </w:p>
        </w:tc>
        <w:tc>
          <w:tcPr>
            <w:tcW w:w="1420" w:type="dxa"/>
            <w:vAlign w:val="center"/>
          </w:tcPr>
          <w:p w14:paraId="372F5FA0">
            <w:pPr>
              <w:jc w:val="center"/>
              <w:rPr>
                <w:sz w:val="24"/>
              </w:rPr>
            </w:pPr>
            <w:r>
              <w:rPr>
                <w:rFonts w:hint="eastAsia"/>
                <w:sz w:val="24"/>
              </w:rPr>
              <w:t>单价</w:t>
            </w:r>
          </w:p>
        </w:tc>
        <w:tc>
          <w:tcPr>
            <w:tcW w:w="1420" w:type="dxa"/>
            <w:vAlign w:val="center"/>
          </w:tcPr>
          <w:p w14:paraId="465A1A8E">
            <w:pPr>
              <w:jc w:val="center"/>
              <w:rPr>
                <w:sz w:val="24"/>
              </w:rPr>
            </w:pPr>
            <w:r>
              <w:rPr>
                <w:rFonts w:hint="eastAsia"/>
                <w:sz w:val="24"/>
              </w:rPr>
              <w:t>数量</w:t>
            </w:r>
          </w:p>
        </w:tc>
      </w:tr>
      <w:tr w14:paraId="6580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FC73B30">
            <w:pPr>
              <w:jc w:val="center"/>
              <w:rPr>
                <w:sz w:val="24"/>
              </w:rPr>
            </w:pPr>
            <w:r>
              <w:rPr>
                <w:rFonts w:hint="eastAsia"/>
                <w:sz w:val="24"/>
              </w:rPr>
              <w:t>过氧化氢快速判读式生物指示剂</w:t>
            </w:r>
          </w:p>
        </w:tc>
        <w:tc>
          <w:tcPr>
            <w:tcW w:w="1419" w:type="dxa"/>
            <w:vAlign w:val="center"/>
          </w:tcPr>
          <w:p w14:paraId="57D800FB">
            <w:pPr>
              <w:jc w:val="center"/>
              <w:rPr>
                <w:sz w:val="24"/>
              </w:rPr>
            </w:pPr>
          </w:p>
        </w:tc>
        <w:tc>
          <w:tcPr>
            <w:tcW w:w="1419" w:type="dxa"/>
            <w:vAlign w:val="center"/>
          </w:tcPr>
          <w:p w14:paraId="2573D1A6">
            <w:pPr>
              <w:jc w:val="center"/>
              <w:rPr>
                <w:sz w:val="24"/>
              </w:rPr>
            </w:pPr>
          </w:p>
        </w:tc>
        <w:tc>
          <w:tcPr>
            <w:tcW w:w="1420" w:type="dxa"/>
            <w:vAlign w:val="center"/>
          </w:tcPr>
          <w:p w14:paraId="6C0885C2">
            <w:pPr>
              <w:jc w:val="center"/>
              <w:rPr>
                <w:sz w:val="24"/>
              </w:rPr>
            </w:pPr>
          </w:p>
        </w:tc>
        <w:tc>
          <w:tcPr>
            <w:tcW w:w="1420" w:type="dxa"/>
            <w:vAlign w:val="center"/>
          </w:tcPr>
          <w:p w14:paraId="4D155063">
            <w:pPr>
              <w:jc w:val="center"/>
              <w:rPr>
                <w:sz w:val="24"/>
              </w:rPr>
            </w:pPr>
            <w:r>
              <w:rPr>
                <w:rFonts w:hint="eastAsia"/>
                <w:sz w:val="24"/>
              </w:rPr>
              <w:t>141</w:t>
            </w:r>
          </w:p>
        </w:tc>
        <w:tc>
          <w:tcPr>
            <w:tcW w:w="1420" w:type="dxa"/>
            <w:vAlign w:val="center"/>
          </w:tcPr>
          <w:p w14:paraId="4D1198CE">
            <w:pPr>
              <w:jc w:val="center"/>
              <w:rPr>
                <w:sz w:val="24"/>
              </w:rPr>
            </w:pPr>
            <w:r>
              <w:rPr>
                <w:rFonts w:hint="eastAsia"/>
                <w:sz w:val="24"/>
              </w:rPr>
              <w:t>330支</w:t>
            </w:r>
          </w:p>
        </w:tc>
      </w:tr>
    </w:tbl>
    <w:p w14:paraId="6BFF8CEB">
      <w:pPr>
        <w:rPr>
          <w:sz w:val="24"/>
        </w:rPr>
      </w:pPr>
      <w:r>
        <w:rPr>
          <w:rFonts w:hint="eastAsia"/>
          <w:sz w:val="24"/>
        </w:rPr>
        <w:t>2.1需免费提供配套设备：</w:t>
      </w:r>
    </w:p>
    <w:p w14:paraId="21FEF678">
      <w:pPr>
        <w:rPr>
          <w:sz w:val="24"/>
        </w:rPr>
      </w:pPr>
      <w:r>
        <w:rPr>
          <w:rFonts w:hint="eastAsia"/>
          <w:sz w:val="24"/>
        </w:rPr>
        <w:t>2.2配套设备要求：1.用于过氧化氢气体灭菌过程的常规生物监测2.</w:t>
      </w:r>
      <w:r>
        <w:rPr>
          <w:rFonts w:hint="eastAsia"/>
        </w:rPr>
        <w:t xml:space="preserve"> </w:t>
      </w:r>
      <w:r>
        <w:rPr>
          <w:rFonts w:hint="eastAsia"/>
          <w:sz w:val="24"/>
        </w:rPr>
        <w:t>菌片为嗜热脂肪杆菌芽孢ATCC7953，符合ISO11138标准3.</w:t>
      </w:r>
      <w:r>
        <w:rPr>
          <w:rFonts w:hint="eastAsia"/>
        </w:rPr>
        <w:t xml:space="preserve"> </w:t>
      </w:r>
      <w:r>
        <w:rPr>
          <w:rFonts w:hint="eastAsia"/>
          <w:sz w:val="24"/>
        </w:rPr>
        <w:t>培养液中含有过氧化氢中和剂4.</w:t>
      </w:r>
      <w:r>
        <w:rPr>
          <w:rFonts w:hint="eastAsia"/>
        </w:rPr>
        <w:t xml:space="preserve"> </w:t>
      </w:r>
      <w:r>
        <w:rPr>
          <w:rFonts w:hint="eastAsia"/>
          <w:sz w:val="24"/>
        </w:rPr>
        <w:t>生物指示剂菌含量≥</w:t>
      </w:r>
      <w:r>
        <w:rPr>
          <w:sz w:val="24"/>
        </w:rPr>
        <w:t>1* 10⁶cfu/</w:t>
      </w:r>
      <w:r>
        <w:rPr>
          <w:rFonts w:hint="eastAsia"/>
          <w:sz w:val="24"/>
        </w:rPr>
        <w:t>支5.</w:t>
      </w:r>
      <w:r>
        <w:rPr>
          <w:rFonts w:hint="eastAsia"/>
        </w:rPr>
        <w:t xml:space="preserve"> </w:t>
      </w:r>
      <w:r>
        <w:rPr>
          <w:rFonts w:hint="eastAsia"/>
          <w:sz w:val="24"/>
        </w:rPr>
        <w:t>按医院需求提供配套的阅读器，要求阅读器阴性结果≤24分钟；6.</w:t>
      </w:r>
      <w:r>
        <w:rPr>
          <w:rFonts w:hint="eastAsia"/>
        </w:rPr>
        <w:t xml:space="preserve"> </w:t>
      </w:r>
      <w:r>
        <w:rPr>
          <w:rFonts w:hint="eastAsia"/>
          <w:sz w:val="24"/>
        </w:rPr>
        <w:t>阅读器要求每孔单独一个荧光读头，孔的数量≥8个,可存储、查询并输出打印,每年提供年检报告。</w:t>
      </w:r>
    </w:p>
    <w:p w14:paraId="6A421987">
      <w:pPr>
        <w:rPr>
          <w:sz w:val="24"/>
        </w:rPr>
      </w:pPr>
      <w:r>
        <w:rPr>
          <w:rFonts w:hint="eastAsia"/>
          <w:sz w:val="24"/>
        </w:rPr>
        <w:t>三、供应商：</w:t>
      </w:r>
    </w:p>
    <w:p w14:paraId="00E7B816">
      <w:pPr>
        <w:rPr>
          <w:sz w:val="24"/>
        </w:rPr>
      </w:pPr>
      <w:r>
        <w:rPr>
          <w:rFonts w:hint="eastAsia"/>
          <w:sz w:val="24"/>
        </w:rPr>
        <w:t>1、具有独立承担民事责任的能力。</w:t>
      </w:r>
    </w:p>
    <w:p w14:paraId="1721EEFB">
      <w:pPr>
        <w:rPr>
          <w:sz w:val="24"/>
        </w:rPr>
      </w:pPr>
      <w:r>
        <w:rPr>
          <w:rFonts w:hint="eastAsia"/>
          <w:sz w:val="24"/>
        </w:rPr>
        <w:t>2、参加政府采购活动前3年内，在经营活动中没有重大违法记录。</w:t>
      </w:r>
    </w:p>
    <w:p w14:paraId="71B6A27B">
      <w:pPr>
        <w:rPr>
          <w:sz w:val="24"/>
        </w:rPr>
      </w:pPr>
      <w:r>
        <w:rPr>
          <w:rFonts w:hint="eastAsia"/>
          <w:sz w:val="24"/>
        </w:rPr>
        <w:t>3、供应商有效期内营业执照经营范围应包含提供医疗耗材的内容。</w:t>
      </w:r>
    </w:p>
    <w:p w14:paraId="653124D6">
      <w:pPr>
        <w:rPr>
          <w:sz w:val="24"/>
        </w:rPr>
      </w:pPr>
      <w:r>
        <w:rPr>
          <w:rFonts w:hint="eastAsia"/>
          <w:sz w:val="24"/>
        </w:rPr>
        <w:t>4、供应商须具备具有经营许可证，授权书，消毒产品卫生评估报告等相关证件。</w:t>
      </w:r>
    </w:p>
    <w:p w14:paraId="0E134C65">
      <w:pPr>
        <w:rPr>
          <w:sz w:val="24"/>
        </w:rPr>
      </w:pPr>
      <w:r>
        <w:rPr>
          <w:rFonts w:hint="eastAsia"/>
          <w:sz w:val="24"/>
        </w:rPr>
        <w:t>5、供应商应具备浙江省两定机构医疗保障信息平台产品配送权，无配送权限的将做无效处理。</w:t>
      </w:r>
    </w:p>
    <w:p w14:paraId="63EA1914">
      <w:pPr>
        <w:rPr>
          <w:sz w:val="24"/>
        </w:rPr>
      </w:pPr>
      <w:r>
        <w:rPr>
          <w:rFonts w:hint="eastAsia"/>
          <w:sz w:val="24"/>
        </w:rPr>
        <w:t>四、报价文件：</w:t>
      </w:r>
    </w:p>
    <w:p w14:paraId="35857435">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67E5E521">
      <w:pPr>
        <w:rPr>
          <w:sz w:val="24"/>
        </w:rPr>
      </w:pPr>
      <w:r>
        <w:rPr>
          <w:rFonts w:hint="eastAsia"/>
          <w:sz w:val="24"/>
        </w:rPr>
        <w:t>2、报价文件递交截止时间：2025年2月</w:t>
      </w:r>
      <w:r>
        <w:rPr>
          <w:rFonts w:hint="eastAsia"/>
          <w:sz w:val="24"/>
          <w:lang w:val="en-US" w:eastAsia="zh-CN"/>
        </w:rPr>
        <w:t>27</w:t>
      </w:r>
      <w:r>
        <w:rPr>
          <w:rFonts w:hint="eastAsia"/>
          <w:sz w:val="24"/>
        </w:rPr>
        <w:t>日北京时间12时，在截止时间后送达的响应文件为无效文件，拒绝接收。</w:t>
      </w:r>
      <w:bookmarkStart w:id="0" w:name="_GoBack"/>
      <w:bookmarkEnd w:id="0"/>
    </w:p>
    <w:p w14:paraId="7D884523">
      <w:pPr>
        <w:rPr>
          <w:sz w:val="24"/>
        </w:rPr>
      </w:pPr>
      <w:r>
        <w:rPr>
          <w:rFonts w:hint="eastAsia"/>
          <w:sz w:val="24"/>
        </w:rPr>
        <w:t>3、报价文件报送方式：密封后送达绍兴市妇幼保健院设备科，密封袋表面必须标注此项目名称。</w:t>
      </w:r>
    </w:p>
    <w:p w14:paraId="6621E22F">
      <w:pPr>
        <w:rPr>
          <w:sz w:val="24"/>
        </w:rPr>
      </w:pPr>
      <w:r>
        <w:rPr>
          <w:rFonts w:hint="eastAsia"/>
          <w:sz w:val="24"/>
        </w:rPr>
        <w:t>五、评定成交标准：</w:t>
      </w:r>
    </w:p>
    <w:p w14:paraId="6EBD1EDC">
      <w:pPr>
        <w:rPr>
          <w:sz w:val="24"/>
        </w:rPr>
      </w:pPr>
      <w:r>
        <w:rPr>
          <w:rFonts w:hint="eastAsia"/>
          <w:sz w:val="24"/>
        </w:rPr>
        <w:t>根据质量和服务均能满足询价文件实质性响应要求且报价最低的原则确定成交供应商。</w:t>
      </w:r>
    </w:p>
    <w:p w14:paraId="3000BD4B">
      <w:pPr>
        <w:rPr>
          <w:sz w:val="24"/>
        </w:rPr>
      </w:pPr>
      <w:r>
        <w:rPr>
          <w:rFonts w:hint="eastAsia"/>
          <w:sz w:val="24"/>
        </w:rPr>
        <w:t>六、联系方式：</w:t>
      </w:r>
    </w:p>
    <w:p w14:paraId="1B7C3433">
      <w:pPr>
        <w:rPr>
          <w:sz w:val="24"/>
        </w:rPr>
      </w:pPr>
      <w:r>
        <w:rPr>
          <w:rFonts w:hint="eastAsia"/>
          <w:sz w:val="24"/>
        </w:rPr>
        <w:t>联系人： 杨老师                           联系电话：0575-88214103</w:t>
      </w:r>
    </w:p>
    <w:p w14:paraId="5AEADD73">
      <w:pPr>
        <w:ind w:left="1200" w:hanging="1200" w:hangingChars="500"/>
        <w:rPr>
          <w:sz w:val="24"/>
        </w:rPr>
      </w:pPr>
      <w:r>
        <w:rPr>
          <w:rFonts w:hint="eastAsia"/>
          <w:sz w:val="24"/>
        </w:rPr>
        <w:t>联系地址：浙江省绍兴市越城区凤林东路222号绍兴市妇幼保健院</w:t>
      </w:r>
    </w:p>
    <w:p w14:paraId="4D89EBB5">
      <w:pPr>
        <w:ind w:left="1197" w:leftChars="570"/>
        <w:rPr>
          <w:sz w:val="24"/>
        </w:rPr>
      </w:pPr>
      <w:r>
        <w:rPr>
          <w:rFonts w:hint="eastAsia"/>
          <w:sz w:val="24"/>
        </w:rPr>
        <w:t>生殖楼一楼设备仓库办公室</w:t>
      </w:r>
    </w:p>
    <w:p w14:paraId="6B65397E">
      <w:pPr>
        <w:rPr>
          <w:sz w:val="24"/>
        </w:rPr>
      </w:pPr>
    </w:p>
    <w:p w14:paraId="6666FDF6">
      <w:pPr>
        <w:jc w:val="right"/>
        <w:rPr>
          <w:sz w:val="24"/>
        </w:rPr>
      </w:pPr>
      <w:r>
        <w:rPr>
          <w:rFonts w:hint="eastAsia"/>
          <w:sz w:val="24"/>
        </w:rPr>
        <w:t>                                                                   绍兴市妇幼保健院</w:t>
      </w:r>
    </w:p>
    <w:p w14:paraId="67BDCFFB">
      <w:pPr>
        <w:jc w:val="right"/>
      </w:pPr>
      <w:r>
        <w:rPr>
          <w:rFonts w:hint="eastAsia"/>
          <w:sz w:val="24"/>
        </w:rPr>
        <w:t>2025 年2月</w:t>
      </w:r>
      <w:r>
        <w:rPr>
          <w:rFonts w:hint="eastAsia"/>
          <w:sz w:val="24"/>
          <w:lang w:val="en-US" w:eastAsia="zh-CN"/>
        </w:rPr>
        <w:t>24</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61849"/>
    <w:rsid w:val="000A5159"/>
    <w:rsid w:val="000D7F52"/>
    <w:rsid w:val="000F33D3"/>
    <w:rsid w:val="000F5B95"/>
    <w:rsid w:val="00185CE1"/>
    <w:rsid w:val="002C62FE"/>
    <w:rsid w:val="00302BA7"/>
    <w:rsid w:val="003118D9"/>
    <w:rsid w:val="003439A6"/>
    <w:rsid w:val="003F6110"/>
    <w:rsid w:val="004B4CEA"/>
    <w:rsid w:val="005C7019"/>
    <w:rsid w:val="00727FF8"/>
    <w:rsid w:val="007B4587"/>
    <w:rsid w:val="0088622C"/>
    <w:rsid w:val="008D1F17"/>
    <w:rsid w:val="009C1EAB"/>
    <w:rsid w:val="00B7609F"/>
    <w:rsid w:val="00CD5F0E"/>
    <w:rsid w:val="00D16A98"/>
    <w:rsid w:val="00D74D85"/>
    <w:rsid w:val="00E36A6C"/>
    <w:rsid w:val="00F95336"/>
    <w:rsid w:val="00FF531E"/>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B5119E8"/>
    <w:rsid w:val="5C18481B"/>
    <w:rsid w:val="5FAC404F"/>
    <w:rsid w:val="61870441"/>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uiPriority w:val="0"/>
    <w:pPr>
      <w:tabs>
        <w:tab w:val="center" w:pos="4153"/>
        <w:tab w:val="right" w:pos="8306"/>
      </w:tabs>
      <w:snapToGrid w:val="0"/>
      <w:jc w:val="left"/>
    </w:pPr>
    <w:rPr>
      <w:sz w:val="18"/>
      <w:szCs w:val="18"/>
    </w:rPr>
  </w:style>
  <w:style w:type="paragraph" w:styleId="3">
    <w:name w:val="header"/>
    <w:basedOn w:val="1"/>
    <w:link w:val="62"/>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uiPriority w:val="0"/>
  </w:style>
  <w:style w:type="character" w:customStyle="1" w:styleId="45">
    <w:name w:val="icontext12"/>
    <w:basedOn w:val="6"/>
    <w:uiPriority w:val="0"/>
  </w:style>
  <w:style w:type="character" w:customStyle="1" w:styleId="46">
    <w:name w:val="w32"/>
    <w:basedOn w:val="6"/>
    <w:uiPriority w:val="0"/>
  </w:style>
  <w:style w:type="character" w:customStyle="1" w:styleId="47">
    <w:name w:val="associateddata"/>
    <w:basedOn w:val="6"/>
    <w:uiPriority w:val="0"/>
    <w:rPr>
      <w:shd w:val="clear" w:color="auto" w:fill="50A6F9"/>
    </w:rPr>
  </w:style>
  <w:style w:type="character" w:customStyle="1" w:styleId="48">
    <w:name w:val="cy"/>
    <w:basedOn w:val="6"/>
    <w:uiPriority w:val="0"/>
  </w:style>
  <w:style w:type="character" w:customStyle="1" w:styleId="49">
    <w:name w:val="hilite6"/>
    <w:basedOn w:val="6"/>
    <w:uiPriority w:val="0"/>
    <w:rPr>
      <w:color w:val="FFFFFF"/>
      <w:shd w:val="clear" w:color="auto" w:fill="666666"/>
    </w:rPr>
  </w:style>
  <w:style w:type="character" w:customStyle="1" w:styleId="50">
    <w:name w:val="copyrow"/>
    <w:basedOn w:val="6"/>
    <w:uiPriority w:val="0"/>
    <w:rPr>
      <w:color w:val="1F85EC"/>
    </w:rPr>
  </w:style>
  <w:style w:type="character" w:customStyle="1" w:styleId="51">
    <w:name w:val="layui-layer-tabnow"/>
    <w:basedOn w:val="6"/>
    <w:uiPriority w:val="0"/>
    <w:rPr>
      <w:bdr w:val="single" w:color="CCCCCC" w:sz="6" w:space="0"/>
      <w:shd w:val="clear" w:color="auto" w:fill="FFFFFF"/>
    </w:rPr>
  </w:style>
  <w:style w:type="character" w:customStyle="1" w:styleId="52">
    <w:name w:val="insertrow"/>
    <w:basedOn w:val="6"/>
    <w:uiPriority w:val="0"/>
    <w:rPr>
      <w:color w:val="1F85EC"/>
    </w:rPr>
  </w:style>
  <w:style w:type="character" w:customStyle="1" w:styleId="53">
    <w:name w:val="moveuprow"/>
    <w:basedOn w:val="6"/>
    <w:uiPriority w:val="0"/>
    <w:rPr>
      <w:color w:val="1F85EC"/>
    </w:rPr>
  </w:style>
  <w:style w:type="character" w:customStyle="1" w:styleId="54">
    <w:name w:val="deleterow"/>
    <w:basedOn w:val="6"/>
    <w:uiPriority w:val="0"/>
    <w:rPr>
      <w:color w:val="FF5E5E"/>
    </w:rPr>
  </w:style>
  <w:style w:type="character" w:customStyle="1" w:styleId="55">
    <w:name w:val="movedownrow"/>
    <w:basedOn w:val="6"/>
    <w:uiPriority w:val="0"/>
    <w:rPr>
      <w:color w:val="1F85EC"/>
    </w:rPr>
  </w:style>
  <w:style w:type="character" w:customStyle="1" w:styleId="56">
    <w:name w:val="active8"/>
    <w:basedOn w:val="6"/>
    <w:uiPriority w:val="0"/>
    <w:rPr>
      <w:color w:val="00FF00"/>
      <w:shd w:val="clear" w:color="auto" w:fill="111111"/>
    </w:rPr>
  </w:style>
  <w:style w:type="character" w:customStyle="1" w:styleId="57">
    <w:name w:val="hilite"/>
    <w:basedOn w:val="6"/>
    <w:uiPriority w:val="0"/>
    <w:rPr>
      <w:color w:val="FFFFFF"/>
      <w:shd w:val="clear" w:color="auto" w:fill="666666"/>
    </w:rPr>
  </w:style>
  <w:style w:type="character" w:customStyle="1" w:styleId="58">
    <w:name w:val="button4"/>
    <w:basedOn w:val="6"/>
    <w:uiPriority w:val="0"/>
  </w:style>
  <w:style w:type="character" w:customStyle="1" w:styleId="59">
    <w:name w:val="active"/>
    <w:basedOn w:val="6"/>
    <w:uiPriority w:val="0"/>
    <w:rPr>
      <w:color w:val="00FF00"/>
      <w:shd w:val="clear" w:color="auto" w:fill="111111"/>
    </w:rPr>
  </w:style>
  <w:style w:type="character" w:customStyle="1" w:styleId="60">
    <w:name w:val="hilite5"/>
    <w:basedOn w:val="6"/>
    <w:uiPriority w:val="0"/>
    <w:rPr>
      <w:color w:val="FFFFFF"/>
      <w:shd w:val="clear" w:color="auto" w:fill="666666"/>
    </w:rPr>
  </w:style>
  <w:style w:type="character" w:customStyle="1" w:styleId="61">
    <w:name w:val="active7"/>
    <w:basedOn w:val="6"/>
    <w:uiPriority w:val="0"/>
    <w:rPr>
      <w:color w:val="00FF00"/>
      <w:shd w:val="clear" w:color="auto" w:fill="111111"/>
    </w:rPr>
  </w:style>
  <w:style w:type="character" w:customStyle="1" w:styleId="62">
    <w:name w:val="页眉 Char"/>
    <w:basedOn w:val="6"/>
    <w:link w:val="3"/>
    <w:uiPriority w:val="0"/>
    <w:rPr>
      <w:rFonts w:asciiTheme="minorHAnsi" w:hAnsiTheme="minorHAnsi" w:eastAsiaTheme="minorEastAsia" w:cstheme="minorBidi"/>
      <w:kern w:val="2"/>
      <w:sz w:val="18"/>
      <w:szCs w:val="18"/>
    </w:rPr>
  </w:style>
  <w:style w:type="character" w:customStyle="1" w:styleId="63">
    <w:name w:val="页脚 Char"/>
    <w:basedOn w:val="6"/>
    <w:link w:val="2"/>
    <w:uiPriority w:val="0"/>
    <w:rPr>
      <w:rFonts w:asciiTheme="minorHAnsi" w:hAnsiTheme="minorHAnsi" w:eastAsiaTheme="minorEastAsia" w:cstheme="minorBidi"/>
      <w:kern w:val="2"/>
      <w:sz w:val="18"/>
      <w:szCs w:val="18"/>
    </w:rPr>
  </w:style>
  <w:style w:type="paragraph" w:styleId="6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807</Words>
  <Characters>872</Characters>
  <Lines>7</Lines>
  <Paragraphs>2</Paragraphs>
  <TotalTime>51</TotalTime>
  <ScaleCrop>false</ScaleCrop>
  <LinksUpToDate>false</LinksUpToDate>
  <CharactersWithSpaces>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2024-09-04T00:42:00Z</cp:lastPrinted>
  <dcterms:modified xsi:type="dcterms:W3CDTF">2025-02-24T01:48:39Z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63E1710CA58041D3BD392CD87936CBFD_13</vt:lpwstr>
  </property>
  <property fmtid="{D5CDD505-2E9C-101B-9397-08002B2CF9AE}" pid="4" name="KSOTemplateDocerSaveRecord">
    <vt:lpwstr>eyJoZGlkIjoiOWNiN2FhMWY1ZmQzMDlmMjU3YTJlODNiZTQwZDM2MTUifQ==</vt:lpwstr>
  </property>
</Properties>
</file>