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耳鼻喉内窥镜摄像头采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耳鼻喉内窥镜摄像头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耳鼻喉内窥镜摄像头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5万元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耳鼻喉内窥镜摄像头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技术参数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重量≤40g（不包含电缆）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隔行型CCD静态图像采集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需连接摄像头适配器进行使用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与科室现有摄像系统（医用内窥镜：奥林巴斯CV-170）兼容，资源共享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与进行环氧乙烷气体灭菌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具有独立承担民事责任的能力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参加政府采购活动前3年内，在经营活动中没有重大违法记录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供应商有效期内营业执照经营范围</w:t>
      </w:r>
      <w:r>
        <w:rPr>
          <w:rFonts w:hint="eastAsia"/>
          <w:sz w:val="24"/>
          <w:szCs w:val="24"/>
          <w:lang w:eastAsia="zh-CN"/>
        </w:rPr>
        <w:t>应包含提供化学试剂的内容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供应商须具备具有经营许可证</w:t>
      </w:r>
      <w:r>
        <w:rPr>
          <w:rFonts w:hint="eastAsia"/>
          <w:sz w:val="24"/>
          <w:szCs w:val="24"/>
          <w:lang w:eastAsia="zh-CN"/>
        </w:rPr>
        <w:t>，授权书，产品注册证等相关证件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5、供应商应具备浙江省药械采购平台产品配送权，无配送权限的将做无效处理。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、报价文件：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4"/>
          <w:szCs w:val="24"/>
          <w:lang w:eastAsia="zh-CN"/>
        </w:rPr>
        <w:t>报价单</w:t>
      </w:r>
      <w:r>
        <w:rPr>
          <w:rFonts w:hint="eastAsia"/>
          <w:sz w:val="24"/>
          <w:szCs w:val="24"/>
        </w:rPr>
        <w:t>。以上资料必须齐全并加盖单位公章，否则该报价文件作无效处理。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报价文件递交截止时间：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日北京时间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时，在截止时间后送达的响应文件为无效文件，拒绝接收。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报价文件报送方式：密封后送达绍兴市妇幼保健院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科，密封袋表面必须标注此项目名称。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、评定成交标准：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根据质量和服务均能满足询价文件实质性响应要求</w:t>
      </w:r>
      <w:r>
        <w:rPr>
          <w:rFonts w:hint="eastAsia"/>
          <w:color w:val="FF0000"/>
          <w:sz w:val="24"/>
          <w:szCs w:val="24"/>
          <w:lang w:val="en-US" w:eastAsia="zh-CN"/>
        </w:rPr>
        <w:t>(本内容均为实质性条款，不允许出现负偏离，否则作无效投标处理）</w:t>
      </w:r>
      <w:bookmarkStart w:id="0" w:name="_GoBack"/>
      <w:bookmarkEnd w:id="0"/>
      <w:r>
        <w:rPr>
          <w:rFonts w:hint="eastAsia"/>
          <w:sz w:val="24"/>
          <w:szCs w:val="24"/>
        </w:rPr>
        <w:t>且报价最低的原则确定成交供应商。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、联系方式：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张老师</w:t>
      </w:r>
      <w:r>
        <w:rPr>
          <w:rFonts w:hint="eastAsia"/>
          <w:sz w:val="24"/>
          <w:szCs w:val="24"/>
        </w:rPr>
        <w:t xml:space="preserve">                         联系电话：</w:t>
      </w:r>
      <w:r>
        <w:rPr>
          <w:rFonts w:hint="eastAsia"/>
          <w:sz w:val="24"/>
          <w:szCs w:val="24"/>
          <w:lang w:val="en-US" w:eastAsia="zh-CN"/>
        </w:rPr>
        <w:t>18358505681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联系地址：</w:t>
      </w:r>
      <w:r>
        <w:rPr>
          <w:rFonts w:hint="eastAsia"/>
          <w:sz w:val="24"/>
          <w:szCs w:val="24"/>
          <w:lang w:eastAsia="zh-CN"/>
        </w:rPr>
        <w:t>浙江省绍兴市府山街道东街</w:t>
      </w:r>
      <w:r>
        <w:rPr>
          <w:rFonts w:hint="eastAsia"/>
          <w:sz w:val="24"/>
          <w:szCs w:val="24"/>
          <w:lang w:val="en-US" w:eastAsia="zh-CN"/>
        </w:rPr>
        <w:t>305号绍兴市妇幼保健院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17744"/>
    <w:multiLevelType w:val="singleLevel"/>
    <w:tmpl w:val="B07177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OTQ2ZjgzODA2OTFjMGU2OWZlYzQzMjA4ZTIyODcifQ=="/>
  </w:docVars>
  <w:rsids>
    <w:rsidRoot w:val="360730EB"/>
    <w:rsid w:val="028F47B0"/>
    <w:rsid w:val="360730EB"/>
    <w:rsid w:val="362D2122"/>
    <w:rsid w:val="54415612"/>
    <w:rsid w:val="60E5417D"/>
    <w:rsid w:val="75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704</Characters>
  <Lines>0</Lines>
  <Paragraphs>0</Paragraphs>
  <TotalTime>0</TotalTime>
  <ScaleCrop>false</ScaleCrop>
  <LinksUpToDate>false</LinksUpToDate>
  <CharactersWithSpaces>797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2022-09-09T00:59:00Z</dcterms:created>
  <dc:creator>胖头鱼</dc:creator>
  <cp:lastModifiedBy>余空	鱼白</cp:lastModifiedBy>
  <dcterms:modified xsi:type="dcterms:W3CDTF">2022-09-09T07:00:28Z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0062FDE1432D4A888B94E980EEEC0272</vt:lpwstr>
  </property>
</Properties>
</file>