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b w:val="0"/>
          <w:bCs w:val="0"/>
          <w:color w:val="auto"/>
          <w:kern w:val="0"/>
          <w:sz w:val="36"/>
          <w:szCs w:val="36"/>
          <w:highlight w:val="none"/>
          <w:lang w:val="en-GB" w:eastAsia="zh-CN" w:bidi="ar-SA"/>
        </w:rPr>
        <w:t>绍兴市妇幼保健院关于手提式防撞柱采购的</w:t>
      </w:r>
      <w:r>
        <w:rPr>
          <w:rFonts w:hint="eastAsia" w:ascii="宋体" w:hAnsi="宋体" w:eastAsia="宋体" w:cs="宋体"/>
          <w:color w:val="auto"/>
          <w:sz w:val="36"/>
          <w:szCs w:val="36"/>
          <w:highlight w:val="none"/>
          <w:lang w:eastAsia="zh-CN"/>
        </w:rPr>
        <w:t>竞价（</w:t>
      </w:r>
      <w:r>
        <w:rPr>
          <w:rFonts w:hint="eastAsia" w:ascii="宋体" w:hAnsi="宋体" w:eastAsia="宋体" w:cs="宋体"/>
          <w:color w:val="auto"/>
          <w:sz w:val="36"/>
          <w:szCs w:val="36"/>
          <w:highlight w:val="none"/>
          <w:lang w:val="en-US" w:eastAsia="zh-CN"/>
        </w:rPr>
        <w:t>议价</w:t>
      </w:r>
      <w:r>
        <w:rPr>
          <w:rFonts w:hint="eastAsia" w:ascii="宋体" w:hAnsi="宋体" w:eastAsia="宋体" w:cs="宋体"/>
          <w:color w:val="auto"/>
          <w:sz w:val="36"/>
          <w:szCs w:val="36"/>
          <w:highlight w:val="none"/>
          <w:lang w:eastAsia="zh-CN"/>
        </w:rPr>
        <w:t>）</w:t>
      </w:r>
      <w:r>
        <w:rPr>
          <w:rFonts w:hint="eastAsia" w:ascii="宋体" w:hAnsi="宋体" w:eastAsia="宋体" w:cs="宋体"/>
          <w:b w:val="0"/>
          <w:bCs w:val="0"/>
          <w:color w:val="auto"/>
          <w:kern w:val="0"/>
          <w:sz w:val="36"/>
          <w:szCs w:val="36"/>
          <w:highlight w:val="none"/>
          <w:lang w:val="en-GB" w:eastAsia="zh-CN" w:bidi="ar-SA"/>
        </w:rPr>
        <w:t>公告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color w:val="auto"/>
          <w:highlight w:val="none"/>
          <w:lang w:val="en-GB"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按照绍兴市妇幼保健院采购需求，医院总务科室对手提式防撞柱采购项目进行竞价，欢迎符合要求的供应商进行报价。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一、项目名称：手提式防撞柱采购项目</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（一）项目预算：3.5万元</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（二）竞价项目概况（内容、用途、数量、简要技术要求等）: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346"/>
        <w:gridCol w:w="1680"/>
        <w:gridCol w:w="720"/>
        <w:gridCol w:w="3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序号</w:t>
            </w:r>
          </w:p>
        </w:tc>
        <w:tc>
          <w:tcPr>
            <w:tcW w:w="1346"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名称</w:t>
            </w:r>
          </w:p>
        </w:tc>
        <w:tc>
          <w:tcPr>
            <w:tcW w:w="1680"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图片</w:t>
            </w:r>
          </w:p>
        </w:tc>
        <w:tc>
          <w:tcPr>
            <w:tcW w:w="720"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个数</w:t>
            </w:r>
          </w:p>
        </w:tc>
        <w:tc>
          <w:tcPr>
            <w:tcW w:w="3950"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1</w:t>
            </w:r>
          </w:p>
        </w:tc>
        <w:tc>
          <w:tcPr>
            <w:tcW w:w="1346"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手提式防撞柱（含施工安装费）</w:t>
            </w:r>
          </w:p>
        </w:tc>
        <w:tc>
          <w:tcPr>
            <w:tcW w:w="1680"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pPr>
            <w:r>
              <w:drawing>
                <wp:anchor distT="0" distB="0" distL="114300" distR="114300" simplePos="0" relativeHeight="251659264" behindDoc="0" locked="0" layoutInCell="1" allowOverlap="1">
                  <wp:simplePos x="0" y="0"/>
                  <wp:positionH relativeFrom="column">
                    <wp:posOffset>104775</wp:posOffset>
                  </wp:positionH>
                  <wp:positionV relativeFrom="paragraph">
                    <wp:posOffset>147955</wp:posOffset>
                  </wp:positionV>
                  <wp:extent cx="709295" cy="838835"/>
                  <wp:effectExtent l="0" t="0" r="14605" b="18415"/>
                  <wp:wrapSquare wrapText="bothSides"/>
                  <wp:docPr id="17" name="图片 16" descr="4803a0db2a0b69e84e52805f8f023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4803a0db2a0b69e84e52805f8f023fd"/>
                          <pic:cNvPicPr>
                            <a:picLocks noChangeAspect="1"/>
                          </pic:cNvPicPr>
                        </pic:nvPicPr>
                        <pic:blipFill>
                          <a:blip r:embed="rId4"/>
                          <a:stretch>
                            <a:fillRect/>
                          </a:stretch>
                        </pic:blipFill>
                        <pic:spPr>
                          <a:xfrm>
                            <a:off x="0" y="0"/>
                            <a:ext cx="709295" cy="838835"/>
                          </a:xfrm>
                          <a:prstGeom prst="rect">
                            <a:avLst/>
                          </a:prstGeom>
                        </pic:spPr>
                      </pic:pic>
                    </a:graphicData>
                  </a:graphic>
                </wp:anchor>
              </w:drawing>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pP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p>
        </w:tc>
        <w:tc>
          <w:tcPr>
            <w:tcW w:w="720"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14</w:t>
            </w:r>
          </w:p>
        </w:tc>
        <w:tc>
          <w:tcPr>
            <w:tcW w:w="3950" w:type="dxa"/>
          </w:tcPr>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1）柱体表面应采用防腐工艺处理，防腐性能应符合GA/T 1343-2016中5.10要求</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2）柱壁厚度:不小于10mm</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柱体直径:不小于219mm</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3）两柱的主体间距不大于800mm</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4）阻挡高度不小于600m</w:t>
            </w:r>
            <w:bookmarkStart w:id="0" w:name="_GoBack"/>
            <w:bookmarkEnd w:id="0"/>
            <w:r>
              <w:rPr>
                <w:rFonts w:hint="eastAsia" w:ascii="仿宋_GB2312" w:hAnsi="仿宋_GB2312" w:eastAsia="仿宋_GB2312" w:cs="仿宋_GB2312"/>
                <w:color w:val="auto"/>
                <w:kern w:val="0"/>
                <w:sz w:val="32"/>
                <w:szCs w:val="32"/>
                <w:highlight w:val="none"/>
                <w:vertAlign w:val="baseline"/>
                <w:lang w:val="en-US" w:eastAsia="zh-CN" w:bidi="ar-SA"/>
              </w:rPr>
              <w:t>m，地埋深度不小于柱体总高度的40%，若安装地点受限未达到，则地埋部分应使用钢筋或钢板相连，采用C25及以上强度等级的混凝土进行加固，保证抗撞击强度；</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5）警示标识:柱体顶部应具有反光膜或 LED警示标识，具有夜间警示功能;使用反光膜为警示标识的，应符合GB/T18833的规定，反光膜宽度不小于 50 mm</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6）应有设置在柱体上部的防盗弹子锁类的锁止装置，防止非工作人员操作</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vertAlign w:val="baseline"/>
                <w:lang w:val="en-US" w:eastAsia="zh-CN" w:bidi="ar-SA"/>
              </w:rPr>
            </w:pPr>
            <w:r>
              <w:rPr>
                <w:rFonts w:hint="eastAsia" w:ascii="仿宋_GB2312" w:hAnsi="仿宋_GB2312" w:eastAsia="仿宋_GB2312" w:cs="仿宋_GB2312"/>
                <w:color w:val="auto"/>
                <w:kern w:val="0"/>
                <w:sz w:val="32"/>
                <w:szCs w:val="32"/>
                <w:highlight w:val="none"/>
                <w:vertAlign w:val="baseline"/>
                <w:lang w:val="en-US" w:eastAsia="zh-CN" w:bidi="ar-SA"/>
              </w:rPr>
              <w:t>7）柱体材质宜为不锈钢、碳索钢</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三、报价文件：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（一）报价须提供文件资料:①营业执照、②法人身份证等相关复印件、③业务员参加的须提供授权委托书和业务员身份证复印件、④报价单。以上资料必须齐全并加盖单位公章，否则该报价文件作无效处理。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（二）报价文件递交截止时间：2025年5月8日北京时间12:00时，在截止时间后送达的响应文件为无效文件，拒绝接收。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（三）报价文件报送方式：密封后送达绍兴市妇幼保健院总务科室，密封袋表面必须标注此项目名称。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四、评定成交标准：根据质量和服务均能满足询价文件实质性响应要求且报价最低的原则确定成交供应商。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五、联系方式：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联系人：丁佳盈           联系电话：0575-88217305</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联系地址：绍兴市妇幼保健院总务科</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绍兴市妇幼保健院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2025年5月5日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F057F"/>
    <w:rsid w:val="24BD02D2"/>
    <w:rsid w:val="29F66FAC"/>
    <w:rsid w:val="55EA7060"/>
    <w:rsid w:val="60674D99"/>
    <w:rsid w:val="65CA276B"/>
    <w:rsid w:val="67E97404"/>
    <w:rsid w:val="68421C93"/>
    <w:rsid w:val="6F526A1C"/>
    <w:rsid w:val="7065560C"/>
    <w:rsid w:val="7E3D72B4"/>
    <w:rsid w:val="7E402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2024-10-21T01:28:00Z</dcterms:created>
  <dc:creator>Administrator</dc:creator>
  <cp:lastModifiedBy>央木</cp:lastModifiedBy>
  <cp:lastPrinted>2025-04-30T06:36:00Z</cp:lastPrinted>
  <dcterms:modified xsi:type="dcterms:W3CDTF">2025-05-08T02:48:37Z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