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关于免疫球蛋白G亚类检测试剂盒</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科室对免疫球蛋白G亚类检测试剂盒</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val="en-US" w:eastAsia="zh-CN"/>
        </w:rPr>
        <w:t>免疫球蛋白G亚类检测试剂盒（流式荧光发光法）</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20500元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lang w:val="en-US" w:eastAsia="zh-CN"/>
              </w:rPr>
              <w:t>免疫球蛋白G亚类检测试剂盒</w:t>
            </w:r>
          </w:p>
        </w:tc>
        <w:tc>
          <w:tcPr>
            <w:tcW w:w="1419"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100人份</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30</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bookmarkStart w:id="0" w:name="_GoBack"/>
      <w:bookmarkEnd w:id="0"/>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杨老师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2023 </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27</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09E03486"/>
    <w:rsid w:val="1DCD64DE"/>
    <w:rsid w:val="1F741C30"/>
    <w:rsid w:val="26147FE5"/>
    <w:rsid w:val="44C34068"/>
    <w:rsid w:val="45D25D77"/>
    <w:rsid w:val="4B780BB6"/>
    <w:rsid w:val="52402DF9"/>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4"/>
    <w:basedOn w:val="4"/>
    <w:uiPriority w:val="0"/>
  </w:style>
  <w:style w:type="character" w:customStyle="1" w:styleId="22">
    <w:name w:val="ui-ic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625</Words>
  <Characters>642</Characters>
  <Lines>0</Lines>
  <Paragraphs>0</Paragraphs>
  <TotalTime>21</TotalTime>
  <ScaleCrop>false</ScaleCrop>
  <LinksUpToDate>false</LinksUpToDate>
  <CharactersWithSpaces>744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2023-03-27T02:21:07Z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F62835080AE24B2FB3CE89F37ABA2583</vt:lpwstr>
  </property>
</Properties>
</file>