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关于鼠胚实验动物</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科室对鼠胚实验动物采购项目进行询价，欢迎符合要求的供应商进行报价。</w:t>
      </w:r>
    </w:p>
    <w:p>
      <w:pPr>
        <w:numPr>
          <w:ilvl w:val="0"/>
          <w:numId w:val="1"/>
        </w:numPr>
        <w:rPr>
          <w:rFonts w:hint="eastAsia"/>
          <w:sz w:val="24"/>
          <w:szCs w:val="24"/>
          <w:lang w:eastAsia="zh-CN"/>
        </w:rPr>
      </w:pPr>
      <w:r>
        <w:rPr>
          <w:rFonts w:hint="eastAsia"/>
          <w:sz w:val="24"/>
          <w:szCs w:val="24"/>
        </w:rPr>
        <w:t>项目名称：鼠胚实验动物</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165000元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鼠胚实验动物</w:t>
            </w:r>
          </w:p>
        </w:tc>
        <w:tc>
          <w:tcPr>
            <w:tcW w:w="1419" w:type="dxa"/>
          </w:tcPr>
          <w:p>
            <w:pPr>
              <w:jc w:val="center"/>
              <w:rPr>
                <w:rFonts w:hint="default" w:eastAsiaTheme="minorEastAsia"/>
                <w:sz w:val="24"/>
                <w:szCs w:val="24"/>
                <w:vertAlign w:val="baseline"/>
                <w:lang w:val="en-US" w:eastAsia="zh-CN"/>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30批</w:t>
            </w:r>
          </w:p>
        </w:tc>
      </w:tr>
    </w:tbl>
    <w:p>
      <w:pPr>
        <w:rPr>
          <w:rFonts w:hint="eastAsia"/>
          <w:sz w:val="24"/>
          <w:szCs w:val="24"/>
          <w:lang w:eastAsia="zh-CN"/>
        </w:rPr>
      </w:pPr>
      <w:r>
        <w:rPr>
          <w:rFonts w:hint="eastAsia"/>
          <w:sz w:val="24"/>
          <w:szCs w:val="24"/>
          <w:lang w:eastAsia="zh-CN"/>
        </w:rPr>
        <w:t>参数要求：</w:t>
      </w:r>
    </w:p>
    <w:p>
      <w:pPr>
        <w:numPr>
          <w:ilvl w:val="0"/>
          <w:numId w:val="2"/>
        </w:numPr>
        <w:ind w:firstLine="480" w:firstLineChars="200"/>
        <w:rPr>
          <w:rFonts w:hint="eastAsia"/>
          <w:sz w:val="24"/>
          <w:szCs w:val="24"/>
          <w:lang w:eastAsia="zh-CN"/>
        </w:rPr>
      </w:pPr>
      <w:r>
        <w:rPr>
          <w:rFonts w:hint="eastAsia"/>
          <w:sz w:val="24"/>
          <w:szCs w:val="24"/>
          <w:lang w:eastAsia="zh-CN"/>
        </w:rPr>
        <w:t>鼠胚为无特定病原体级</w:t>
      </w:r>
      <w:r>
        <w:rPr>
          <w:rFonts w:hint="eastAsia"/>
          <w:sz w:val="24"/>
          <w:szCs w:val="24"/>
          <w:lang w:val="en-US" w:eastAsia="zh-CN"/>
        </w:rPr>
        <w:t>8-10</w:t>
      </w:r>
      <w:r>
        <w:rPr>
          <w:rFonts w:hint="eastAsia"/>
          <w:sz w:val="24"/>
          <w:szCs w:val="24"/>
          <w:lang w:eastAsia="zh-CN"/>
        </w:rPr>
        <w:t>周龄雌性ICR小鼠及雄性ICR小鼠，</w:t>
      </w:r>
      <w:r>
        <w:rPr>
          <w:rFonts w:hint="eastAsia"/>
          <w:sz w:val="24"/>
          <w:szCs w:val="24"/>
          <w:lang w:val="en-US" w:eastAsia="zh-CN"/>
        </w:rPr>
        <w:t>1批鼠胚数量不少于20只，具体雄性小鼠及雌性小鼠数量由使用科室决定。</w:t>
      </w:r>
    </w:p>
    <w:p>
      <w:pPr>
        <w:numPr>
          <w:ilvl w:val="0"/>
          <w:numId w:val="2"/>
        </w:numPr>
        <w:ind w:firstLine="480" w:firstLineChars="200"/>
        <w:rPr>
          <w:rFonts w:hint="eastAsia"/>
          <w:sz w:val="24"/>
          <w:szCs w:val="24"/>
          <w:lang w:eastAsia="zh-CN"/>
        </w:rPr>
      </w:pPr>
      <w:r>
        <w:rPr>
          <w:rFonts w:hint="eastAsia"/>
          <w:sz w:val="24"/>
          <w:szCs w:val="24"/>
          <w:lang w:eastAsia="zh-CN"/>
        </w:rPr>
        <w:t>小鼠在恒温（25 ℃）环境下饲养，12 h光照12 h黑暗环境，正常昼夜节律自由饮食，根据医院需求由供应商进行喂养、超促排及合笼。</w:t>
      </w:r>
    </w:p>
    <w:p>
      <w:pPr>
        <w:numPr>
          <w:ilvl w:val="0"/>
          <w:numId w:val="2"/>
        </w:numPr>
        <w:ind w:firstLine="480" w:firstLineChars="200"/>
        <w:rPr>
          <w:rFonts w:hint="eastAsia"/>
          <w:sz w:val="24"/>
          <w:szCs w:val="24"/>
          <w:lang w:eastAsia="zh-CN"/>
        </w:rPr>
      </w:pPr>
      <w:r>
        <w:rPr>
          <w:rFonts w:hint="eastAsia"/>
          <w:sz w:val="24"/>
          <w:szCs w:val="24"/>
          <w:lang w:eastAsia="zh-CN"/>
        </w:rPr>
        <w:t>项目上限数量为</w:t>
      </w:r>
      <w:r>
        <w:rPr>
          <w:rFonts w:hint="eastAsia"/>
          <w:sz w:val="24"/>
          <w:szCs w:val="24"/>
          <w:lang w:val="en-US" w:eastAsia="zh-CN"/>
        </w:rPr>
        <w:t>30批，以科室具体需求为准。</w:t>
      </w: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应包含相应内容</w:t>
      </w:r>
      <w:r>
        <w:rPr>
          <w:rFonts w:hint="eastAsia"/>
          <w:sz w:val="24"/>
          <w:szCs w:val="24"/>
        </w:rPr>
        <w:t>。</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w:t>
      </w:r>
      <w:r>
        <w:rPr>
          <w:rFonts w:hint="eastAsia"/>
          <w:sz w:val="24"/>
          <w:szCs w:val="24"/>
          <w:lang w:eastAsia="zh-CN"/>
        </w:rPr>
        <w:t>，养殖许可证明</w:t>
      </w:r>
      <w:r>
        <w:rPr>
          <w:rFonts w:hint="eastAsia"/>
          <w:sz w:val="24"/>
          <w:szCs w:val="24"/>
        </w:rPr>
        <w:t>、②法人身份证等相关复印件、③业务员参加的须提供授权委托书和业务员身份证复印件、④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w:t>
      </w:r>
      <w:bookmarkStart w:id="0" w:name="_GoBack"/>
      <w:bookmarkEnd w:id="0"/>
      <w:r>
        <w:rPr>
          <w:rFonts w:hint="eastAsia"/>
          <w:sz w:val="24"/>
          <w:szCs w:val="24"/>
        </w:rPr>
        <w:t>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7</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龚老师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2</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abstractNum w:abstractNumId="1">
    <w:nsid w:val="DC14287B"/>
    <w:multiLevelType w:val="singleLevel"/>
    <w:tmpl w:val="DC14287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0B9D7468"/>
    <w:rsid w:val="1DCD64DE"/>
    <w:rsid w:val="1F741C30"/>
    <w:rsid w:val="26147FE5"/>
    <w:rsid w:val="2C0924E7"/>
    <w:rsid w:val="3234553E"/>
    <w:rsid w:val="44C34068"/>
    <w:rsid w:val="45D25D77"/>
    <w:rsid w:val="4B780BB6"/>
    <w:rsid w:val="4B7919E0"/>
    <w:rsid w:val="52402DF9"/>
    <w:rsid w:val="660414B7"/>
    <w:rsid w:val="6835703D"/>
    <w:rsid w:val="6E70546D"/>
    <w:rsid w:val="7466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25"/>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29</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2023-06-02T08:43:22Z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F62835080AE24B2FB3CE89F37ABA2583</vt:lpwstr>
  </property>
</Properties>
</file>