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155"/>
        </w:tabs>
        <w:spacing w:line="360" w:lineRule="auto"/>
        <w:ind w:right="-512" w:rightChars="-244"/>
        <w:jc w:val="center"/>
        <w:rPr>
          <w:rFonts w:eastAsia="华文仿宋"/>
          <w:b/>
          <w:sz w:val="28"/>
          <w:szCs w:val="28"/>
        </w:rPr>
      </w:pPr>
    </w:p>
    <w:p>
      <w:pPr>
        <w:tabs>
          <w:tab w:val="left" w:pos="1155"/>
        </w:tabs>
        <w:spacing w:line="360" w:lineRule="auto"/>
        <w:ind w:right="-512" w:rightChars="-244"/>
        <w:jc w:val="center"/>
        <w:rPr>
          <w:rFonts w:hint="eastAsia" w:eastAsia="华文仿宋"/>
          <w:b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drawing>
          <wp:inline distT="0" distB="0" distL="114300" distR="114300">
            <wp:extent cx="1981200" cy="1981200"/>
            <wp:effectExtent l="0" t="0" r="0" b="0"/>
            <wp:docPr id="1" name="图片 9" descr="9854753908ef4200c7610643aedf9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9854753908ef4200c7610643aedf9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155"/>
        </w:tabs>
        <w:spacing w:line="360" w:lineRule="auto"/>
        <w:ind w:right="-512" w:rightChars="-244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tabs>
          <w:tab w:val="left" w:pos="1155"/>
        </w:tabs>
        <w:spacing w:line="360" w:lineRule="auto"/>
        <w:ind w:right="-512" w:rightChars="-244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临床试验伦理审查申请指南</w:t>
      </w:r>
    </w:p>
    <w:p>
      <w:pPr>
        <w:tabs>
          <w:tab w:val="left" w:pos="1155"/>
        </w:tabs>
        <w:spacing w:line="360" w:lineRule="auto"/>
        <w:ind w:right="-512" w:rightChars="-244"/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tabs>
          <w:tab w:val="left" w:pos="1155"/>
        </w:tabs>
        <w:spacing w:line="360" w:lineRule="auto"/>
        <w:ind w:right="-512" w:rightChars="-244"/>
        <w:jc w:val="center"/>
        <w:rPr>
          <w:rFonts w:hint="eastAsia" w:ascii="宋体" w:hAnsi="宋体" w:cs="宋体"/>
          <w:b/>
          <w:sz w:val="28"/>
          <w:szCs w:val="28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409"/>
        <w:gridCol w:w="2092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0"/>
                <w:kern w:val="0"/>
                <w:sz w:val="28"/>
                <w:szCs w:val="28"/>
                <w:fitText w:val="960" w:id="1403178496"/>
              </w:rPr>
              <w:t>版本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60" w:id="1403178496"/>
              </w:rPr>
              <w:t>号</w:t>
            </w:r>
          </w:p>
        </w:tc>
        <w:tc>
          <w:tcPr>
            <w:tcW w:w="133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第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版</w:t>
            </w:r>
          </w:p>
        </w:tc>
        <w:tc>
          <w:tcPr>
            <w:tcW w:w="11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00"/>
                <w:kern w:val="0"/>
                <w:sz w:val="28"/>
                <w:szCs w:val="28"/>
                <w:fitText w:val="960" w:id="1403178497"/>
              </w:rPr>
              <w:t>页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60" w:id="1403178497"/>
              </w:rPr>
              <w:t>数</w:t>
            </w:r>
          </w:p>
        </w:tc>
        <w:tc>
          <w:tcPr>
            <w:tcW w:w="134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共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6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0"/>
                <w:kern w:val="0"/>
                <w:sz w:val="28"/>
                <w:szCs w:val="28"/>
                <w:fitText w:val="960" w:id="1403178498"/>
              </w:rPr>
              <w:t>起草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60" w:id="1403178498"/>
              </w:rPr>
              <w:t>人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起草日期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6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0"/>
                <w:kern w:val="0"/>
                <w:sz w:val="28"/>
                <w:szCs w:val="28"/>
                <w:fitText w:val="960" w:id="1403178499"/>
              </w:rPr>
              <w:t>审核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60" w:id="1403178499"/>
              </w:rPr>
              <w:t>人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审核日期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6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0"/>
                <w:kern w:val="0"/>
                <w:sz w:val="28"/>
                <w:szCs w:val="28"/>
                <w:fitText w:val="960" w:id="1403178500"/>
              </w:rPr>
              <w:t>批准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8"/>
                <w:szCs w:val="28"/>
                <w:fitText w:val="960" w:id="1403178500"/>
              </w:rPr>
              <w:t>人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批准日期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颁布日期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6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起效日期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eastAsia="华文仿宋"/>
          <w:sz w:val="28"/>
          <w:szCs w:val="28"/>
        </w:rPr>
      </w:pPr>
    </w:p>
    <w:p>
      <w:pPr>
        <w:spacing w:line="360" w:lineRule="auto"/>
        <w:rPr>
          <w:rFonts w:eastAsia="华文仿宋"/>
          <w:sz w:val="28"/>
          <w:szCs w:val="28"/>
        </w:rPr>
      </w:pPr>
    </w:p>
    <w:p>
      <w:pPr>
        <w:spacing w:line="360" w:lineRule="auto"/>
        <w:jc w:val="left"/>
        <w:rPr>
          <w:rFonts w:hint="eastAsia" w:eastAsia="华文仿宋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eastAsia="华文仿宋"/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bidi="ar"/>
        </w:rPr>
        <w:t>保密文件，本规程仅限于绍兴市妇幼保健院临床试验伦理审查委员会使用，未经许可，不得擅自使用、泄露、公布及出版。</w:t>
      </w:r>
    </w:p>
    <w:p>
      <w:pPr>
        <w:keepNext w:val="0"/>
        <w:keepLines w:val="0"/>
        <w:pageBreakBefore w:val="0"/>
        <w:widowControl w:val="0"/>
        <w:tabs>
          <w:tab w:val="center" w:pos="4345"/>
          <w:tab w:val="right" w:pos="8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6" w:afterLines="50" w:line="360" w:lineRule="auto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临床试验伦理审查申请指南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为指导研究者/申办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方</w:t>
      </w:r>
      <w:r>
        <w:rPr>
          <w:rFonts w:hint="eastAsia" w:ascii="宋体" w:hAnsi="宋体" w:cs="宋体"/>
          <w:sz w:val="28"/>
          <w:szCs w:val="28"/>
        </w:rPr>
        <w:t>、课题负责人提交临床试验项目的伦理审查申请/报告，特制定本指南。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提交伦理审查的研究项目范围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根据《药物临床试验质量管理规范》、</w:t>
      </w:r>
      <w:r>
        <w:rPr>
          <w:sz w:val="28"/>
          <w:szCs w:val="28"/>
        </w:rPr>
        <w:t>《涉及人的生命科学和医学研究伦理审查办法》</w:t>
      </w:r>
      <w:r>
        <w:rPr>
          <w:rFonts w:hint="eastAsia"/>
          <w:sz w:val="28"/>
          <w:szCs w:val="28"/>
        </w:rPr>
        <w:t>、《涉及人的生物医学研究伦理审查办法》、</w:t>
      </w:r>
      <w:r>
        <w:rPr>
          <w:sz w:val="28"/>
          <w:szCs w:val="28"/>
        </w:rPr>
        <w:t>《药物临床试验伦理审查工作指导原则》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《赫尔辛基宣言》</w:t>
      </w:r>
      <w:r>
        <w:rPr>
          <w:rFonts w:hint="eastAsia" w:ascii="宋体" w:hAnsi="宋体" w:cs="宋体"/>
          <w:sz w:val="28"/>
          <w:szCs w:val="28"/>
        </w:rPr>
        <w:t>等相关法律法规，药物临床试验项目应依据本指南提交伦理审查申请和/或报告。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初始审查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初始审查申请：符合上述范围的临床试验项目，应在研究开始前提交伦理审查申请，经批准后方可实施。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申请时间：首次向临床试验伦理委员会提交的审查申请。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需提交以下资料：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cs="宋体"/>
          <w:sz w:val="28"/>
          <w:szCs w:val="28"/>
        </w:rPr>
        <w:t>纸质版资料：初始审查申请表，盖章的全套资料（详见药物临床试验初始审查申请递交资料清单</w:t>
      </w:r>
      <w:r>
        <w:rPr>
          <w:rFonts w:hint="eastAsia" w:ascii="宋体" w:hAnsi="宋体" w:cs="宋体"/>
          <w:color w:val="auto"/>
          <w:sz w:val="28"/>
          <w:szCs w:val="28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贰</w:t>
      </w:r>
      <w:r>
        <w:rPr>
          <w:rFonts w:hint="eastAsia" w:ascii="宋体" w:hAnsi="宋体" w:cs="宋体"/>
          <w:sz w:val="28"/>
          <w:szCs w:val="28"/>
        </w:rPr>
        <w:t>份，试验方案、知</w:t>
      </w:r>
      <w:r>
        <w:rPr>
          <w:rFonts w:hint="eastAsia" w:ascii="宋体" w:hAnsi="宋体" w:cs="宋体"/>
          <w:color w:val="auto"/>
          <w:sz w:val="28"/>
          <w:szCs w:val="28"/>
        </w:rPr>
        <w:t>情同意书、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sz w:val="28"/>
          <w:szCs w:val="28"/>
        </w:rPr>
        <w:t>日记卡（如有）和招募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sz w:val="28"/>
          <w:szCs w:val="28"/>
        </w:rPr>
        <w:t>的材料（如有）共一</w:t>
      </w:r>
      <w:r>
        <w:rPr>
          <w:rFonts w:hint="eastAsia" w:ascii="宋体" w:hAnsi="宋体" w:cs="宋体"/>
          <w:sz w:val="28"/>
          <w:szCs w:val="28"/>
        </w:rPr>
        <w:t>式</w:t>
      </w:r>
      <w:r>
        <w:rPr>
          <w:rFonts w:hint="default" w:ascii="Times New Roman" w:hAnsi="Times New Roman" w:cs="Times New Roman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cs="宋体"/>
          <w:sz w:val="28"/>
          <w:szCs w:val="28"/>
        </w:rPr>
        <w:t>电子版资料一套（</w:t>
      </w:r>
      <w:r>
        <w:rPr>
          <w:rFonts w:hint="default" w:ascii="Times New Roman" w:hAnsi="Times New Roman" w:cs="Times New Roman"/>
          <w:sz w:val="28"/>
          <w:szCs w:val="28"/>
        </w:rPr>
        <w:t>PDF</w:t>
      </w:r>
      <w:r>
        <w:rPr>
          <w:rFonts w:hint="eastAsia" w:ascii="宋体" w:hAnsi="宋体" w:cs="宋体"/>
          <w:sz w:val="28"/>
          <w:szCs w:val="28"/>
        </w:rPr>
        <w:t>版）。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修正案审查</w:t>
      </w:r>
    </w:p>
    <w:p>
      <w:pPr>
        <w:pStyle w:val="1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研究过程中若变更主要研究者，对临床研究方案、知情同意书、招募材料等的任何修改，应向临床试验伦理委员会提交修正案审查申请，经批准后执行。</w:t>
      </w:r>
    </w:p>
    <w:p>
      <w:pPr>
        <w:pStyle w:val="1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需提交的资料：修正案审查申请表，并附上修正说明。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年度及定期跟踪审查</w:t>
      </w:r>
    </w:p>
    <w:p>
      <w:pPr>
        <w:pStyle w:val="1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按照伦理审查批件规定的年度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sz w:val="28"/>
          <w:szCs w:val="28"/>
        </w:rPr>
        <w:t>定期跟踪审查频率，在截止日期前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个月提交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临床</w:t>
      </w:r>
      <w:r>
        <w:rPr>
          <w:rFonts w:hint="eastAsia" w:ascii="宋体" w:hAnsi="宋体" w:cs="宋体"/>
          <w:sz w:val="28"/>
          <w:szCs w:val="28"/>
        </w:rPr>
        <w:t>研究进展报告，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</w:t>
      </w:r>
      <w:r>
        <w:rPr>
          <w:rFonts w:hint="eastAsia" w:ascii="宋体" w:hAnsi="宋体" w:cs="宋体"/>
          <w:sz w:val="28"/>
          <w:szCs w:val="28"/>
        </w:rPr>
        <w:t>临床试验伦理委员会审查。如果伦理审查批件有效期到期，而项目没有启动，需重新提交伦理申请并获得批准后方可实施。</w:t>
      </w:r>
    </w:p>
    <w:p>
      <w:pPr>
        <w:pStyle w:val="1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需提交的资料：</w:t>
      </w:r>
      <w:r>
        <w:rPr>
          <w:rFonts w:hint="eastAsia" w:ascii="宋体" w:hAnsi="宋体" w:cs="宋体"/>
          <w:color w:val="auto"/>
          <w:sz w:val="28"/>
          <w:szCs w:val="28"/>
        </w:rPr>
        <w:t>研究进展报告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详见年度/定期跟踪审查递交资料清单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严重不良事件/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SUSAR</w:t>
      </w:r>
      <w:r>
        <w:rPr>
          <w:rFonts w:hint="eastAsia" w:ascii="宋体" w:hAnsi="宋体" w:cs="宋体"/>
          <w:b/>
          <w:bCs/>
          <w:sz w:val="28"/>
          <w:szCs w:val="28"/>
        </w:rPr>
        <w:t>审查</w:t>
      </w:r>
    </w:p>
    <w:p>
      <w:pPr>
        <w:pStyle w:val="15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" w:leftChars="0" w:firstLine="426" w:firstLineChars="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本院发生的</w:t>
      </w:r>
      <w:r>
        <w:rPr>
          <w:rFonts w:hint="default" w:ascii="Times New Roman" w:hAnsi="Times New Roman" w:cs="Times New Roman"/>
          <w:sz w:val="28"/>
          <w:szCs w:val="28"/>
        </w:rPr>
        <w:t>SAE</w:t>
      </w:r>
      <w:r>
        <w:rPr>
          <w:rFonts w:hint="eastAsia" w:ascii="宋体" w:hAnsi="宋体" w:cs="宋体"/>
          <w:sz w:val="28"/>
          <w:szCs w:val="28"/>
        </w:rPr>
        <w:t>：主要研究者应在获知后</w:t>
      </w:r>
      <w:r>
        <w:rPr>
          <w:rFonts w:hint="default" w:ascii="Times New Roman" w:hAnsi="Times New Roman" w:cs="Times New Roman"/>
          <w:sz w:val="28"/>
          <w:szCs w:val="28"/>
        </w:rPr>
        <w:t>24</w:t>
      </w:r>
      <w:r>
        <w:rPr>
          <w:rFonts w:hint="eastAsia" w:ascii="宋体" w:hAnsi="宋体" w:cs="宋体"/>
          <w:sz w:val="28"/>
          <w:szCs w:val="28"/>
        </w:rPr>
        <w:t>小时内（或方案中规定的时间）报告给申办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方</w:t>
      </w:r>
      <w:r>
        <w:rPr>
          <w:rFonts w:hint="eastAsia" w:ascii="宋体" w:hAnsi="宋体" w:cs="宋体"/>
          <w:sz w:val="28"/>
          <w:szCs w:val="28"/>
        </w:rPr>
        <w:t>及本临床试验伦理委员会。</w:t>
      </w:r>
    </w:p>
    <w:p>
      <w:pPr>
        <w:pStyle w:val="15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" w:leftChars="0" w:firstLine="426" w:firstLineChars="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外院发生的</w:t>
      </w:r>
      <w:r>
        <w:rPr>
          <w:rFonts w:hint="default" w:ascii="Times New Roman" w:hAnsi="Times New Roman" w:cs="Times New Roman"/>
          <w:sz w:val="28"/>
          <w:szCs w:val="28"/>
        </w:rPr>
        <w:t>SAE</w:t>
      </w:r>
      <w:r>
        <w:rPr>
          <w:rFonts w:hint="eastAsia" w:ascii="宋体" w:hAnsi="宋体" w:cs="宋体"/>
          <w:sz w:val="28"/>
          <w:szCs w:val="28"/>
        </w:rPr>
        <w:t>：本临床试验伦理委员会不主动要求申办方报告。</w:t>
      </w:r>
    </w:p>
    <w:p>
      <w:pPr>
        <w:pStyle w:val="15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" w:leftChars="0" w:firstLine="426" w:firstLineChars="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SUSAR</w:t>
      </w:r>
      <w:r>
        <w:rPr>
          <w:rFonts w:hint="eastAsia" w:ascii="宋体" w:hAnsi="宋体" w:cs="宋体"/>
          <w:sz w:val="28"/>
          <w:szCs w:val="28"/>
        </w:rPr>
        <w:t>：研究者收到申办方发送的</w:t>
      </w:r>
      <w:r>
        <w:rPr>
          <w:rFonts w:hint="default" w:ascii="Times New Roman" w:hAnsi="Times New Roman" w:cs="Times New Roman"/>
          <w:sz w:val="28"/>
          <w:szCs w:val="28"/>
        </w:rPr>
        <w:t>SUSAR</w:t>
      </w:r>
      <w:r>
        <w:rPr>
          <w:rFonts w:hint="eastAsia" w:ascii="宋体" w:hAnsi="宋体" w:cs="宋体"/>
          <w:sz w:val="28"/>
          <w:szCs w:val="28"/>
        </w:rPr>
        <w:t>报告后及时签收阅读，并在获得报告后</w:t>
      </w:r>
      <w:r>
        <w:rPr>
          <w:rFonts w:hint="default" w:ascii="Times New Roman" w:hAnsi="Times New Roman" w:cs="Times New Roman"/>
          <w:sz w:val="28"/>
          <w:szCs w:val="28"/>
        </w:rPr>
        <w:t>24</w:t>
      </w:r>
      <w:r>
        <w:rPr>
          <w:rFonts w:hint="eastAsia" w:ascii="宋体" w:hAnsi="宋体" w:cs="宋体"/>
          <w:sz w:val="28"/>
          <w:szCs w:val="28"/>
        </w:rPr>
        <w:t>小时内递交临床试验伦理委员会。</w:t>
      </w:r>
    </w:p>
    <w:p>
      <w:pPr>
        <w:pStyle w:val="15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" w:leftChars="0" w:firstLine="426" w:firstLineChars="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境外与外院发生的</w:t>
      </w:r>
      <w:r>
        <w:rPr>
          <w:rFonts w:hint="default" w:ascii="Times New Roman" w:hAnsi="Times New Roman" w:cs="Times New Roman"/>
          <w:sz w:val="28"/>
          <w:szCs w:val="28"/>
        </w:rPr>
        <w:t>SUSAR</w:t>
      </w:r>
      <w:r>
        <w:rPr>
          <w:rFonts w:hint="eastAsia" w:ascii="宋体" w:hAnsi="宋体" w:cs="宋体"/>
          <w:sz w:val="28"/>
          <w:szCs w:val="28"/>
        </w:rPr>
        <w:t>：申办方应至少每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个月一次报告临床试验伦理委员会，不建议申办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方</w:t>
      </w:r>
      <w:r>
        <w:rPr>
          <w:rFonts w:hint="eastAsia" w:ascii="宋体" w:hAnsi="宋体" w:cs="宋体"/>
          <w:sz w:val="28"/>
          <w:szCs w:val="28"/>
        </w:rPr>
        <w:t xml:space="preserve">以个例形式通报。 </w:t>
      </w:r>
    </w:p>
    <w:p>
      <w:pPr>
        <w:pStyle w:val="15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" w:leftChars="0" w:firstLine="426" w:firstLineChars="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其他申办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方</w:t>
      </w:r>
      <w:r>
        <w:rPr>
          <w:rFonts w:hint="eastAsia" w:ascii="宋体" w:hAnsi="宋体" w:cs="宋体"/>
          <w:sz w:val="28"/>
          <w:szCs w:val="28"/>
        </w:rPr>
        <w:t>认为某些重要安全性信息：需及时通知本临床试验伦理委员会作必要处置时，请务必先进行分析评估后，以正式书面文件，送交本临床试验伦理委员会。</w:t>
      </w:r>
    </w:p>
    <w:p>
      <w:pPr>
        <w:pStyle w:val="15"/>
        <w:keepNext w:val="0"/>
        <w:keepLines w:val="0"/>
        <w:pageBreakBefore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" w:leftChars="0" w:firstLine="426" w:firstLineChars="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需提交的资料：严重不良事件报告表、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SUSAR</w:t>
      </w:r>
      <w:r>
        <w:rPr>
          <w:rFonts w:hint="eastAsia" w:ascii="宋体" w:hAnsi="宋体" w:cs="宋体"/>
          <w:color w:val="auto"/>
          <w:sz w:val="28"/>
          <w:szCs w:val="28"/>
        </w:rPr>
        <w:t>报告表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详见安全性报告审查递交资料清单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违背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/偏离方案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审查</w:t>
      </w:r>
    </w:p>
    <w:p>
      <w:pPr>
        <w:pStyle w:val="16"/>
        <w:keepNext w:val="0"/>
        <w:keepLines w:val="0"/>
        <w:pageBreakBefore w:val="0"/>
        <w:numPr>
          <w:ilvl w:val="0"/>
          <w:numId w:val="6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方案偏离：以下方案偏离，主要研究者应定期（</w:t>
      </w:r>
      <w:r>
        <w:rPr>
          <w:rFonts w:hint="eastAsia" w:ascii="宋体" w:hAnsi="宋体" w:cs="宋体"/>
          <w:sz w:val="28"/>
          <w:szCs w:val="28"/>
        </w:rPr>
        <w:t>每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个月一次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临床试验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伦理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审查委员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递交报告。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访视/观察/检查时间超窗，但不影响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按方案继续使用研究药物，不增加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的风险，或不影响对主要疗效和关键的次要疗效指标评价的有效性。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方案规定观察的数据点或实验室参数缺失而导致部分数据缺失，但不影响主要疗效或关键的次要疗效或安全性指标结果。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观察/评价不全，但不影响主要或次要疗效或安全结果。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2.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方案违背：影响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安全与权益；影响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继续参加试验的意愿；影响数据质量与完整性。以下方案违背应及时向</w:t>
      </w:r>
      <w:r>
        <w:rPr>
          <w:rFonts w:hint="eastAsia" w:ascii="宋体" w:hAnsi="宋体" w:cs="宋体"/>
          <w:color w:val="auto"/>
          <w:sz w:val="28"/>
          <w:szCs w:val="28"/>
        </w:rPr>
        <w:t>临床试验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伦理委员会递交报告。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1）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误纳入：不符合任一条纳入标准，或符合任一条排除标准但被纳入试验。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2）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在试验过程中发生了符合中止试验标准的情况，但没有退出试验。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未能按照方案要求进行安全性指标、主要疗效指标或关键的次要疗效指标的检查，从而对研究的科学性产生影响。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4）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接受了不正确的治疗或剂量，给予方案禁止的合并用药，影响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安全或统计分析的程度。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持续违背方案，或研究者不配合监查、稽查，或对违规事件不予以纠正。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6)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在试验实施中发生的其他严重违反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GCP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原则的情况。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3.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需提交的资料：</w:t>
      </w:r>
      <w:r>
        <w:rPr>
          <w:rFonts w:hint="eastAsia" w:ascii="宋体" w:hAnsi="宋体" w:cs="宋体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违背/偏离方案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报告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详见违背/偏离方案审查递交资料清单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暂停/终止研究审查</w:t>
      </w:r>
    </w:p>
    <w:p>
      <w:pPr>
        <w:pStyle w:val="16"/>
        <w:keepNext w:val="0"/>
        <w:keepLines w:val="0"/>
        <w:pageBreakBefore w:val="0"/>
        <w:numPr>
          <w:ilvl w:val="0"/>
          <w:numId w:val="7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主要研究者/申办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方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暂停或提前终止临床研究，应向</w:t>
      </w:r>
      <w:r>
        <w:rPr>
          <w:rFonts w:hint="eastAsia" w:ascii="宋体" w:hAnsi="宋体" w:cs="宋体"/>
          <w:color w:val="auto"/>
          <w:sz w:val="28"/>
          <w:szCs w:val="28"/>
        </w:rPr>
        <w:t>临床试验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伦理委员会递交暂停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终止临床试验申请。</w:t>
      </w:r>
    </w:p>
    <w:p>
      <w:pPr>
        <w:pStyle w:val="16"/>
        <w:keepNext w:val="0"/>
        <w:keepLines w:val="0"/>
        <w:pageBreakBefore w:val="0"/>
        <w:numPr>
          <w:ilvl w:val="0"/>
          <w:numId w:val="7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需提交的资料：暂停</w:t>
      </w:r>
      <w:r>
        <w:rPr>
          <w:rFonts w:hint="eastAsia" w:ascii="宋体" w:hAnsi="宋体" w:cs="宋体"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终止研究报告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详见暂停/终止研究审查递交资料清单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结题审查</w:t>
      </w:r>
    </w:p>
    <w:p>
      <w:pPr>
        <w:keepNext w:val="0"/>
        <w:keepLines w:val="0"/>
        <w:pageBreakBefore w:val="0"/>
        <w:numPr>
          <w:ilvl w:val="0"/>
          <w:numId w:val="8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临床试验完成后，主要研究者/申办方可以向</w:t>
      </w:r>
      <w:r>
        <w:rPr>
          <w:rFonts w:hint="eastAsia" w:ascii="宋体" w:hAnsi="宋体" w:cs="宋体"/>
          <w:color w:val="auto"/>
          <w:sz w:val="28"/>
          <w:szCs w:val="28"/>
        </w:rPr>
        <w:t>临床试验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伦理委员会提交结题申请。</w:t>
      </w:r>
    </w:p>
    <w:p>
      <w:pPr>
        <w:pStyle w:val="16"/>
        <w:keepNext w:val="0"/>
        <w:keepLines w:val="0"/>
        <w:pageBreakBefore w:val="0"/>
        <w:numPr>
          <w:ilvl w:val="0"/>
          <w:numId w:val="8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需提交的资料：结题报告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详见结题审查递交资料清单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复审审查/伦理审查不同意见沟通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申办方或研究者按照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临床试验</w:t>
      </w:r>
      <w:r>
        <w:rPr>
          <w:rFonts w:hint="eastAsia" w:ascii="宋体" w:hAnsi="宋体" w:cs="宋体"/>
          <w:color w:val="auto"/>
          <w:sz w:val="28"/>
          <w:szCs w:val="28"/>
        </w:rPr>
        <w:t>伦理审查委员会的意见修改后再次提交的材料，临床试验伦理委员会对其进行的审查程序；或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主要研究者/申办方对伦理审查意见有异议，</w:t>
      </w:r>
      <w:r>
        <w:rPr>
          <w:rFonts w:hint="eastAsia" w:ascii="宋体" w:hAnsi="宋体" w:cs="宋体"/>
          <w:color w:val="auto"/>
          <w:sz w:val="28"/>
          <w:szCs w:val="28"/>
        </w:rPr>
        <w:t>临床试验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伦理委员会对其所提出的异议及其理由或澄清说明进行的审查程序。</w:t>
      </w:r>
    </w:p>
    <w:p>
      <w:pPr>
        <w:pStyle w:val="16"/>
        <w:keepNext w:val="0"/>
        <w:keepLines w:val="0"/>
        <w:pageBreakBefore w:val="0"/>
        <w:numPr>
          <w:ilvl w:val="0"/>
          <w:numId w:val="9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需提交的资料：复审申请表，附补充说明资料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详见复审审查递交资料清单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提交伦理审查的流程</w:t>
      </w:r>
    </w:p>
    <w:p>
      <w:pPr>
        <w:pStyle w:val="15"/>
        <w:keepNext w:val="0"/>
        <w:keepLines w:val="0"/>
        <w:pageBreakBefore w:val="0"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5" w:firstLineChars="202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提交送审文件：送审文件的完整性和要素通过形式审查，办公室秘书给予《项目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资料</w:t>
      </w:r>
      <w:r>
        <w:rPr>
          <w:rFonts w:hint="eastAsia" w:ascii="宋体" w:hAnsi="宋体" w:cs="宋体"/>
          <w:color w:val="auto"/>
          <w:sz w:val="28"/>
          <w:szCs w:val="28"/>
        </w:rPr>
        <w:t>受理回执》，告知预定审查日期。临床试验伦理委员会办公室受理送审文件后，需要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</w:rPr>
        <w:t>周的时间进行处理，请在会议审查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l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周前提交送审文件。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8"/>
          <w:szCs w:val="28"/>
        </w:rPr>
        <w:t>伦理审查的时间：临床试验伦理委员会对受理的申报项目在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30</w:t>
      </w:r>
      <w:r>
        <w:rPr>
          <w:rFonts w:hint="eastAsia" w:ascii="宋体" w:hAnsi="宋体" w:cs="宋体"/>
          <w:color w:val="auto"/>
          <w:sz w:val="28"/>
          <w:szCs w:val="28"/>
        </w:rPr>
        <w:t>天内开展伦理审查，提供审查意见。研究过程中出现重大或严重问题，危及</w:t>
      </w: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研究参与者</w:t>
      </w:r>
      <w:r>
        <w:rPr>
          <w:rFonts w:hint="eastAsia" w:ascii="宋体" w:hAnsi="宋体" w:cs="宋体"/>
          <w:color w:val="auto"/>
          <w:sz w:val="28"/>
          <w:szCs w:val="28"/>
        </w:rPr>
        <w:t>安全时，或发生其它需要</w:t>
      </w:r>
      <w:r>
        <w:rPr>
          <w:rFonts w:hint="eastAsia" w:ascii="宋体" w:hAnsi="宋体" w:cs="宋体"/>
          <w:sz w:val="28"/>
          <w:szCs w:val="28"/>
        </w:rPr>
        <w:t>临床试验伦理委员会召开会议进行紧急审查和决定的情况，临床试验伦理委员会将召开紧急会议进行审查。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z w:val="28"/>
          <w:szCs w:val="28"/>
        </w:rPr>
        <w:t>伦理审查决定的传达：临床试验伦理委员会在做出伦理审查决定后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个工作日内，以“伦理审查批件”或“伦理审查意见”的书面方式传达审查决定。</w:t>
      </w:r>
    </w:p>
    <w:p>
      <w:pPr>
        <w:keepNext w:val="0"/>
        <w:keepLines w:val="0"/>
        <w:pageBreakBefore w:val="0"/>
        <w:numPr>
          <w:ilvl w:val="0"/>
          <w:numId w:val="1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伦理审查的费用       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6" w:firstLineChars="0"/>
        <w:jc w:val="left"/>
        <w:textAlignment w:val="auto"/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Ⅱ期、Ⅲ、Ⅳ期药物临床试验，由项目申办方或CRO向医院财务科交纳伦理审查费(以下费用不包含税费，税费6%另加)，收费标准为：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1）初始审查为会议审查的项目，每项评审费5000元整；初始审查项目符合简易审查方式的，每项评审费2500元整；初始审查后复审为会议审查的项目，每项评审费2500元整。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2）跟踪审查中符合会议审查方式的项目，每项评审费2500元整；跟踪审查后复审为会议审查的项目，每项评审费1250元整。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strike/>
          <w:dstrike w:val="0"/>
          <w:color w:val="auto"/>
          <w:sz w:val="28"/>
          <w:szCs w:val="28"/>
          <w:highlight w:val="yellow"/>
        </w:rPr>
      </w:pPr>
      <w:r>
        <w:rPr>
          <w:rFonts w:hint="eastAsia" w:ascii="宋体" w:hAnsi="宋体" w:cs="宋体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3）紧急会议审查的项目，每项评审费2500元整。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临床试验伦理委员会联系人：闻琪琪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临床试验伦理委员会办公室电话：</w:t>
      </w:r>
      <w:r>
        <w:rPr>
          <w:rFonts w:hint="default" w:ascii="Times New Roman" w:hAnsi="Times New Roman" w:cs="Times New Roman"/>
          <w:sz w:val="28"/>
          <w:szCs w:val="28"/>
        </w:rPr>
        <w:t>0575</w:t>
      </w:r>
      <w:r>
        <w:rPr>
          <w:rFonts w:hint="eastAsia" w:ascii="宋体" w:hAnsi="宋体" w:cs="宋体"/>
          <w:sz w:val="28"/>
          <w:szCs w:val="28"/>
        </w:rPr>
        <w:t>-</w:t>
      </w:r>
      <w:r>
        <w:rPr>
          <w:rFonts w:hint="eastAsia" w:cs="Times New Roman"/>
          <w:sz w:val="28"/>
          <w:szCs w:val="28"/>
          <w:lang w:val="en-US" w:eastAsia="zh-CN"/>
        </w:rPr>
        <w:t>88216017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sz w:val="28"/>
          <w:szCs w:val="28"/>
          <w:highlight w:val="yellow"/>
        </w:rPr>
      </w:pPr>
      <w:r>
        <w:rPr>
          <w:rFonts w:hint="eastAsia" w:ascii="宋体" w:hAnsi="宋体" w:cs="宋体"/>
          <w:sz w:val="28"/>
          <w:szCs w:val="28"/>
        </w:rPr>
        <w:t>临床试验伦理委员会办公室地址：绍兴市</w:t>
      </w:r>
      <w:r>
        <w:rPr>
          <w:rFonts w:hint="eastAsia" w:ascii="宋体" w:hAnsi="宋体" w:cs="宋体"/>
          <w:sz w:val="28"/>
          <w:szCs w:val="28"/>
          <w:lang w:eastAsia="zh-CN"/>
        </w:rPr>
        <w:t>越城区凤林东路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222号康复楼10楼伦理办公室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临床试验伦理委员会</w:t>
      </w:r>
      <w:r>
        <w:rPr>
          <w:rFonts w:hint="default" w:ascii="Times New Roman" w:hAnsi="Times New Roman" w:cs="Times New Roman"/>
          <w:sz w:val="28"/>
          <w:szCs w:val="28"/>
        </w:rPr>
        <w:t>Email</w:t>
      </w:r>
      <w:r>
        <w:rPr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kjk5138222</w:t>
      </w:r>
      <w:r>
        <w:rPr>
          <w:rFonts w:hint="eastAsia"/>
          <w:sz w:val="28"/>
          <w:szCs w:val="28"/>
        </w:rPr>
        <w:t>@</w:t>
      </w:r>
      <w:r>
        <w:rPr>
          <w:rFonts w:hint="default" w:ascii="Times New Roman" w:hAnsi="Times New Roman" w:cs="Times New Roman"/>
          <w:sz w:val="28"/>
          <w:szCs w:val="28"/>
        </w:rPr>
        <w:t>163</w:t>
      </w:r>
      <w:r>
        <w:rPr>
          <w:rFonts w:hint="eastAsia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com</w:t>
      </w:r>
    </w:p>
    <w:sectPr>
      <w:headerReference r:id="rId3" w:type="default"/>
      <w:footerReference r:id="rId4" w:type="default"/>
      <w:pgSz w:w="11906" w:h="16838"/>
      <w:pgMar w:top="1417" w:right="1418" w:bottom="1417" w:left="1418" w:header="850" w:footer="964" w:gutter="284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rFonts w:hint="eastAsia" w:ascii="宋体" w:hAnsi="宋体" w:cs="宋体"/>
        <w:kern w:val="0"/>
        <w:sz w:val="18"/>
        <w:szCs w:val="18"/>
        <w:lang w:val="en-US" w:eastAsia="zh-CN"/>
      </w:rPr>
    </w:pPr>
  </w:p>
  <w:p>
    <w:pPr>
      <w:jc w:val="center"/>
      <w:rPr>
        <w:rFonts w:eastAsia="华文仿宋"/>
        <w:sz w:val="18"/>
        <w:szCs w:val="18"/>
      </w:rPr>
    </w:pPr>
    <w:r>
      <w:rPr>
        <w:rFonts w:hint="eastAsia" w:ascii="宋体" w:hAnsi="宋体" w:cs="宋体"/>
        <w:kern w:val="0"/>
        <w:sz w:val="18"/>
        <w:szCs w:val="18"/>
      </w:rPr>
      <w:t xml:space="preserve">第 </w:t>
    </w:r>
    <w:r>
      <w:rPr>
        <w:kern w:val="0"/>
        <w:sz w:val="18"/>
        <w:szCs w:val="18"/>
      </w:rPr>
      <w:fldChar w:fldCharType="begin"/>
    </w:r>
    <w:r>
      <w:rPr>
        <w:kern w:val="0"/>
        <w:sz w:val="18"/>
        <w:szCs w:val="18"/>
      </w:rPr>
      <w:instrText xml:space="preserve"> PAGE </w:instrText>
    </w:r>
    <w:r>
      <w:rPr>
        <w:kern w:val="0"/>
        <w:sz w:val="18"/>
        <w:szCs w:val="18"/>
      </w:rPr>
      <w:fldChar w:fldCharType="separate"/>
    </w:r>
    <w:r>
      <w:rPr>
        <w:kern w:val="0"/>
        <w:sz w:val="18"/>
        <w:szCs w:val="18"/>
      </w:rPr>
      <w:t>2</w:t>
    </w:r>
    <w:r>
      <w:rPr>
        <w:kern w:val="0"/>
        <w:sz w:val="18"/>
        <w:szCs w:val="18"/>
      </w:rPr>
      <w:fldChar w:fldCharType="end"/>
    </w:r>
    <w:r>
      <w:rPr>
        <w:rFonts w:hint="eastAsia" w:ascii="宋体" w:hAnsi="宋体" w:cs="宋体"/>
        <w:kern w:val="0"/>
        <w:sz w:val="18"/>
        <w:szCs w:val="18"/>
      </w:rPr>
      <w:t xml:space="preserve"> 页 / 共 </w:t>
    </w:r>
    <w:r>
      <w:rPr>
        <w:kern w:val="0"/>
        <w:sz w:val="18"/>
        <w:szCs w:val="18"/>
      </w:rPr>
      <w:fldChar w:fldCharType="begin"/>
    </w:r>
    <w:r>
      <w:rPr>
        <w:kern w:val="0"/>
        <w:sz w:val="18"/>
        <w:szCs w:val="18"/>
      </w:rPr>
      <w:instrText xml:space="preserve"> NUMPAGES </w:instrText>
    </w:r>
    <w:r>
      <w:rPr>
        <w:kern w:val="0"/>
        <w:sz w:val="18"/>
        <w:szCs w:val="18"/>
      </w:rPr>
      <w:fldChar w:fldCharType="separate"/>
    </w:r>
    <w:r>
      <w:rPr>
        <w:kern w:val="0"/>
        <w:sz w:val="18"/>
        <w:szCs w:val="18"/>
      </w:rPr>
      <w:t>6</w:t>
    </w:r>
    <w:r>
      <w:rPr>
        <w:kern w:val="0"/>
        <w:sz w:val="18"/>
        <w:szCs w:val="18"/>
      </w:rPr>
      <w:fldChar w:fldCharType="end"/>
    </w:r>
    <w:r>
      <w:rPr>
        <w:rFonts w:hint="eastAsia" w:ascii="宋体" w:hAnsi="宋体" w:cs="宋体"/>
        <w:kern w:val="0"/>
        <w:sz w:val="18"/>
        <w:szCs w:val="18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left"/>
      <w:rPr>
        <w:rFonts w:hint="default" w:eastAsia="宋体"/>
        <w:lang w:val="en-US" w:eastAsia="zh-CN"/>
      </w:rPr>
    </w:pPr>
    <w:r>
      <w:rPr>
        <w:rFonts w:ascii="宋体"/>
      </w:rPr>
      <w:drawing>
        <wp:inline distT="0" distB="0" distL="114300" distR="114300">
          <wp:extent cx="409575" cy="409575"/>
          <wp:effectExtent l="0" t="0" r="9525" b="9525"/>
          <wp:docPr id="3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9854753908ef4200c7610643aedf96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</w:rPr>
      <w:t>绍兴市妇幼保健院</w:t>
    </w:r>
    <w:r>
      <w:rPr>
        <w:rFonts w:hint="eastAsia" w:ascii="宋体" w:hAnsi="宋体"/>
        <w:lang w:bidi="ar"/>
      </w:rPr>
      <w:t xml:space="preserve"> 临床试验伦理审查委员会</w:t>
    </w:r>
    <w:r>
      <w:rPr>
        <w:rFonts w:hint="eastAsia" w:ascii="宋体" w:hAnsi="宋体" w:cs="宋体"/>
        <w:kern w:val="0"/>
      </w:rPr>
      <w:ptab w:relativeTo="margin" w:alignment="right" w:leader="none"/>
    </w:r>
    <w:r>
      <w:rPr>
        <w:rFonts w:hint="eastAsia" w:ascii="宋体" w:hAnsi="宋体" w:cs="宋体"/>
        <w:kern w:val="0"/>
      </w:rPr>
      <w:t>文件编号：</w:t>
    </w:r>
    <w:r>
      <w:t>IEC-ZN-001</w:t>
    </w:r>
    <w:r>
      <w:rPr>
        <w:rFonts w:hint="eastAsia"/>
      </w:rPr>
      <w:t>-</w:t>
    </w:r>
    <w:r>
      <w:rPr>
        <w:rFonts w:hint="eastAsia"/>
        <w:lang w:val="en-US" w:eastAsia="zh-CN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E967D"/>
    <w:multiLevelType w:val="singleLevel"/>
    <w:tmpl w:val="959E967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default" w:ascii="Times New Roman" w:hAnsi="Times New Roman" w:cs="Times New Roman"/>
        <w:sz w:val="28"/>
        <w:szCs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56684C"/>
    <w:multiLevelType w:val="singleLevel"/>
    <w:tmpl w:val="0456684C"/>
    <w:lvl w:ilvl="0" w:tentative="0">
      <w:start w:val="1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0AFB3F64"/>
    <w:multiLevelType w:val="singleLevel"/>
    <w:tmpl w:val="0AFB3F6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24F90BB9"/>
    <w:multiLevelType w:val="singleLevel"/>
    <w:tmpl w:val="24F90BB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5E97AB1"/>
    <w:multiLevelType w:val="singleLevel"/>
    <w:tmpl w:val="35E97AB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8A955EA"/>
    <w:multiLevelType w:val="singleLevel"/>
    <w:tmpl w:val="38A955EA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C4BC52B"/>
    <w:multiLevelType w:val="singleLevel"/>
    <w:tmpl w:val="3C4BC52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4F408C3"/>
    <w:multiLevelType w:val="multilevel"/>
    <w:tmpl w:val="44F408C3"/>
    <w:lvl w:ilvl="0" w:tentative="0">
      <w:start w:val="1"/>
      <w:numFmt w:val="decimal"/>
      <w:lvlText w:val="%1、"/>
      <w:lvlJc w:val="left"/>
      <w:pPr>
        <w:ind w:left="987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1401" w:hanging="420"/>
      </w:pPr>
      <w:rPr>
        <w:rFonts w:hint="default" w:ascii="Times New Roman" w:hAnsi="Times New Roman" w:eastAsia="华文仿宋" w:cs="Times New Roman"/>
        <w:sz w:val="28"/>
        <w:szCs w:val="28"/>
      </w:r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4DD059C1"/>
    <w:multiLevelType w:val="multilevel"/>
    <w:tmpl w:val="4DD059C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 w:ascii="宋体" w:hAnsi="宋体" w:eastAsia="宋体" w:cs="宋体"/>
        <w:b/>
        <w:bCs/>
        <w:color w:val="auto"/>
        <w:sz w:val="28"/>
        <w:szCs w:val="28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D386D66"/>
    <w:multiLevelType w:val="singleLevel"/>
    <w:tmpl w:val="5D386D66"/>
    <w:lvl w:ilvl="0" w:tentative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172A27"/>
    <w:rsid w:val="00003823"/>
    <w:rsid w:val="000E49B0"/>
    <w:rsid w:val="000E5DCF"/>
    <w:rsid w:val="00102AA1"/>
    <w:rsid w:val="00103695"/>
    <w:rsid w:val="001325B9"/>
    <w:rsid w:val="00161141"/>
    <w:rsid w:val="00175833"/>
    <w:rsid w:val="001D7C80"/>
    <w:rsid w:val="001E15E3"/>
    <w:rsid w:val="001E2213"/>
    <w:rsid w:val="00210FD3"/>
    <w:rsid w:val="00214277"/>
    <w:rsid w:val="002247AA"/>
    <w:rsid w:val="00233E27"/>
    <w:rsid w:val="00275558"/>
    <w:rsid w:val="00277B06"/>
    <w:rsid w:val="002A31A6"/>
    <w:rsid w:val="002A4757"/>
    <w:rsid w:val="002D68B4"/>
    <w:rsid w:val="002E315F"/>
    <w:rsid w:val="00306B44"/>
    <w:rsid w:val="00337998"/>
    <w:rsid w:val="00363C87"/>
    <w:rsid w:val="00371F85"/>
    <w:rsid w:val="003D47ED"/>
    <w:rsid w:val="00427D03"/>
    <w:rsid w:val="00481D4B"/>
    <w:rsid w:val="004A3A8F"/>
    <w:rsid w:val="004B1FDF"/>
    <w:rsid w:val="0053045E"/>
    <w:rsid w:val="0054188B"/>
    <w:rsid w:val="005643EB"/>
    <w:rsid w:val="0059468E"/>
    <w:rsid w:val="006137C6"/>
    <w:rsid w:val="006437DA"/>
    <w:rsid w:val="00655272"/>
    <w:rsid w:val="00677109"/>
    <w:rsid w:val="00681E87"/>
    <w:rsid w:val="006843BE"/>
    <w:rsid w:val="006E393B"/>
    <w:rsid w:val="006E7BE2"/>
    <w:rsid w:val="006F0242"/>
    <w:rsid w:val="00750E5F"/>
    <w:rsid w:val="00756139"/>
    <w:rsid w:val="00775A3F"/>
    <w:rsid w:val="00791932"/>
    <w:rsid w:val="007B1D2D"/>
    <w:rsid w:val="007E7C44"/>
    <w:rsid w:val="008075D8"/>
    <w:rsid w:val="00807B84"/>
    <w:rsid w:val="00826D14"/>
    <w:rsid w:val="0086564E"/>
    <w:rsid w:val="0087149F"/>
    <w:rsid w:val="0089449C"/>
    <w:rsid w:val="008A2650"/>
    <w:rsid w:val="008E3634"/>
    <w:rsid w:val="00903F37"/>
    <w:rsid w:val="00925EAC"/>
    <w:rsid w:val="00930295"/>
    <w:rsid w:val="009512BA"/>
    <w:rsid w:val="00974F1A"/>
    <w:rsid w:val="00993C71"/>
    <w:rsid w:val="009A2C9A"/>
    <w:rsid w:val="009C2059"/>
    <w:rsid w:val="009D610D"/>
    <w:rsid w:val="00A011DF"/>
    <w:rsid w:val="00A04B7E"/>
    <w:rsid w:val="00A12296"/>
    <w:rsid w:val="00A27225"/>
    <w:rsid w:val="00A404BE"/>
    <w:rsid w:val="00A94B83"/>
    <w:rsid w:val="00AB1590"/>
    <w:rsid w:val="00AB3A43"/>
    <w:rsid w:val="00AF7A29"/>
    <w:rsid w:val="00B05E8C"/>
    <w:rsid w:val="00B11008"/>
    <w:rsid w:val="00B17ACE"/>
    <w:rsid w:val="00B311DA"/>
    <w:rsid w:val="00B51EDF"/>
    <w:rsid w:val="00BB2281"/>
    <w:rsid w:val="00BB26E8"/>
    <w:rsid w:val="00BF0BE6"/>
    <w:rsid w:val="00C17614"/>
    <w:rsid w:val="00C7216F"/>
    <w:rsid w:val="00C8563F"/>
    <w:rsid w:val="00C9359B"/>
    <w:rsid w:val="00D55F44"/>
    <w:rsid w:val="00D56B81"/>
    <w:rsid w:val="00D64B09"/>
    <w:rsid w:val="00D93873"/>
    <w:rsid w:val="00DA1A3E"/>
    <w:rsid w:val="00DB6F89"/>
    <w:rsid w:val="00DF3802"/>
    <w:rsid w:val="00E3419C"/>
    <w:rsid w:val="00E81332"/>
    <w:rsid w:val="00E9521C"/>
    <w:rsid w:val="00ED1FDA"/>
    <w:rsid w:val="00F0156F"/>
    <w:rsid w:val="00F12060"/>
    <w:rsid w:val="00F1772A"/>
    <w:rsid w:val="00F36630"/>
    <w:rsid w:val="00F4707E"/>
    <w:rsid w:val="00FC436A"/>
    <w:rsid w:val="00FE2DDE"/>
    <w:rsid w:val="021533E7"/>
    <w:rsid w:val="025F28B4"/>
    <w:rsid w:val="03DE6373"/>
    <w:rsid w:val="04892E54"/>
    <w:rsid w:val="068A254B"/>
    <w:rsid w:val="0C654F6B"/>
    <w:rsid w:val="0C8D4009"/>
    <w:rsid w:val="0CB06B5C"/>
    <w:rsid w:val="0F5547C1"/>
    <w:rsid w:val="14F722F8"/>
    <w:rsid w:val="1505152E"/>
    <w:rsid w:val="18F41CB6"/>
    <w:rsid w:val="1B0A1B8C"/>
    <w:rsid w:val="1D1F7324"/>
    <w:rsid w:val="223236E9"/>
    <w:rsid w:val="24F06184"/>
    <w:rsid w:val="257A0BDE"/>
    <w:rsid w:val="27716327"/>
    <w:rsid w:val="281573ED"/>
    <w:rsid w:val="28F519C1"/>
    <w:rsid w:val="291922CA"/>
    <w:rsid w:val="293B7327"/>
    <w:rsid w:val="293B76EF"/>
    <w:rsid w:val="2B7A7ED7"/>
    <w:rsid w:val="31D20BF2"/>
    <w:rsid w:val="323B2C2B"/>
    <w:rsid w:val="35827050"/>
    <w:rsid w:val="37460AB5"/>
    <w:rsid w:val="376B32F9"/>
    <w:rsid w:val="37AB7C28"/>
    <w:rsid w:val="38DD5509"/>
    <w:rsid w:val="39BB4967"/>
    <w:rsid w:val="3A2321ED"/>
    <w:rsid w:val="3AD80F7F"/>
    <w:rsid w:val="3B3F2402"/>
    <w:rsid w:val="3B6E2210"/>
    <w:rsid w:val="3B766543"/>
    <w:rsid w:val="3CF74793"/>
    <w:rsid w:val="3FC0580E"/>
    <w:rsid w:val="40B66FEA"/>
    <w:rsid w:val="40EE50F7"/>
    <w:rsid w:val="41235366"/>
    <w:rsid w:val="4395627C"/>
    <w:rsid w:val="44510B03"/>
    <w:rsid w:val="45AA4012"/>
    <w:rsid w:val="45B03B3C"/>
    <w:rsid w:val="47C20129"/>
    <w:rsid w:val="47ED5F46"/>
    <w:rsid w:val="48045DA1"/>
    <w:rsid w:val="489B28AD"/>
    <w:rsid w:val="4A8D5FA6"/>
    <w:rsid w:val="4AE1597C"/>
    <w:rsid w:val="4D0B421B"/>
    <w:rsid w:val="4D4923B3"/>
    <w:rsid w:val="529666CE"/>
    <w:rsid w:val="52E1316B"/>
    <w:rsid w:val="549E1E4D"/>
    <w:rsid w:val="585F6FDE"/>
    <w:rsid w:val="5BD47258"/>
    <w:rsid w:val="5C6C6881"/>
    <w:rsid w:val="5F2D5FCE"/>
    <w:rsid w:val="5FC00C6C"/>
    <w:rsid w:val="60A8620B"/>
    <w:rsid w:val="60D721CB"/>
    <w:rsid w:val="610E7A3A"/>
    <w:rsid w:val="61CD5F7B"/>
    <w:rsid w:val="61E20B77"/>
    <w:rsid w:val="62B335E4"/>
    <w:rsid w:val="64167D03"/>
    <w:rsid w:val="64F22D7A"/>
    <w:rsid w:val="669F3DBD"/>
    <w:rsid w:val="676B2636"/>
    <w:rsid w:val="69195CA1"/>
    <w:rsid w:val="6A0709CA"/>
    <w:rsid w:val="6A273FE7"/>
    <w:rsid w:val="6A9536C6"/>
    <w:rsid w:val="6B3E223A"/>
    <w:rsid w:val="7076338E"/>
    <w:rsid w:val="73073FCA"/>
    <w:rsid w:val="73D03C23"/>
    <w:rsid w:val="741D578E"/>
    <w:rsid w:val="75B237DD"/>
    <w:rsid w:val="76532CD0"/>
    <w:rsid w:val="77CA59A0"/>
    <w:rsid w:val="79633EEA"/>
    <w:rsid w:val="7C375F73"/>
    <w:rsid w:val="7D1F3F48"/>
    <w:rsid w:val="7D8D0136"/>
    <w:rsid w:val="7F650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文字 字符"/>
    <w:link w:val="2"/>
    <w:qFormat/>
    <w:uiPriority w:val="0"/>
    <w:rPr>
      <w:kern w:val="2"/>
      <w:sz w:val="21"/>
      <w:szCs w:val="21"/>
    </w:rPr>
  </w:style>
  <w:style w:type="character" w:customStyle="1" w:styleId="11">
    <w:name w:val="批注框文本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1"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1-20211008-&#23004;&#23267;\01-&#34892;&#25919;\05-&#35013;&#35746;&#20462;&#25913;&#25991;&#20214;-&#21307;&#38498;\20230829-&#32461;&#20852;&#24066;&#22919;&#24188;&#20445;&#20581;&#38498;&#25171;&#21360;&#35013;&#35746;\1.&#32461;&#20852;&#24066;&#22919;&#24188;&#20445;&#20581;&#38498;.&#26426;&#26500;&#31649;&#29702;&#25991;&#20214;&#31995;&#32479;\&#32461;&#20852;&#24066;&#22919;&#24188;&#20445;&#20581;&#38498;.&#26426;&#26500;&#31649;&#29702;&#25991;&#20214;&#31995;&#32479;\1.&#26426;&#26500;&#31649;&#29702;&#21046;&#24230;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 Corporation</Company>
  <Pages>7</Pages>
  <Words>2303</Words>
  <Characters>2432</Characters>
  <Lines>18</Lines>
  <Paragraphs>5</Paragraphs>
  <TotalTime>332</TotalTime>
  <ScaleCrop>false</ScaleCrop>
  <LinksUpToDate>false</LinksUpToDate>
  <CharactersWithSpaces>2526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2012-10-10T21:57:00Z</dcterms:created>
  <dc:creator>china</dc:creator>
  <cp:lastModifiedBy>bsoft</cp:lastModifiedBy>
  <cp:lastPrinted>2025-02-19T08:11:00Z</cp:lastPrinted>
  <dcterms:modified xsi:type="dcterms:W3CDTF">2025-03-13T01:58:05Z</dcterms:modified>
  <dc:title>User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6EE63E8183594DFB8EDB8B7BF70BC407_13</vt:lpwstr>
  </property>
</Properties>
</file>